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81" w:rsidRPr="00CE0181" w:rsidRDefault="00CE0181">
      <w:pPr>
        <w:pStyle w:val="VerkndetUser"/>
        <w:tabs>
          <w:tab w:val="clear" w:pos="6660"/>
          <w:tab w:val="left" w:pos="8732"/>
        </w:tabs>
        <w:spacing w:before="0"/>
        <w:ind w:right="0"/>
        <w:rPr>
          <w:b/>
        </w:rPr>
      </w:pPr>
      <w:r w:rsidRPr="00CE0181">
        <w:rPr>
          <w:b/>
        </w:rPr>
        <w:t>LANDESARBEITSGERICHT NÜRNBERG</w:t>
      </w:r>
    </w:p>
    <w:p w:rsidR="0093068F" w:rsidRDefault="00CE0181">
      <w:pPr>
        <w:pStyle w:val="VerkndetUser"/>
        <w:tabs>
          <w:tab w:val="clear" w:pos="6660"/>
          <w:tab w:val="left" w:pos="8732"/>
        </w:tabs>
        <w:spacing w:before="0"/>
        <w:ind w:right="0"/>
      </w:pPr>
      <w:r>
        <w:tab/>
      </w:r>
    </w:p>
    <w:tbl>
      <w:tblPr>
        <w:tblW w:w="9468" w:type="dxa"/>
        <w:tblLook w:val="01E0" w:firstRow="1" w:lastRow="1" w:firstColumn="1" w:lastColumn="1" w:noHBand="0" w:noVBand="0"/>
      </w:tblPr>
      <w:tblGrid>
        <w:gridCol w:w="6948"/>
        <w:gridCol w:w="2520"/>
      </w:tblGrid>
      <w:tr w:rsidR="0093068F" w:rsidRPr="00BB30E7" w:rsidTr="00BB30E7">
        <w:tc>
          <w:tcPr>
            <w:tcW w:w="6948" w:type="dxa"/>
            <w:shd w:val="clear" w:color="auto" w:fill="auto"/>
          </w:tcPr>
          <w:p w:rsidR="0093068F" w:rsidRDefault="00F96B2C" w:rsidP="00BB30E7">
            <w:pPr>
              <w:pStyle w:val="VerkndetUser"/>
              <w:tabs>
                <w:tab w:val="clear" w:pos="6660"/>
                <w:tab w:val="left" w:pos="8732"/>
              </w:tabs>
              <w:spacing w:before="0"/>
              <w:ind w:right="0"/>
            </w:pPr>
            <w:r w:rsidRPr="00BB30E7">
              <w:rPr>
                <w:b/>
              </w:rPr>
              <w:t>4 Sa 306/18</w:t>
            </w:r>
          </w:p>
          <w:p w:rsidR="0093068F" w:rsidRDefault="00F96B2C" w:rsidP="00BB30E7">
            <w:pPr>
              <w:pStyle w:val="VerkndetUser"/>
              <w:tabs>
                <w:tab w:val="clear" w:pos="6660"/>
                <w:tab w:val="left" w:pos="8732"/>
              </w:tabs>
              <w:spacing w:before="0"/>
              <w:ind w:right="0"/>
            </w:pPr>
            <w:r>
              <w:t>10 Ca 5977/17</w:t>
            </w:r>
          </w:p>
          <w:p w:rsidR="0093068F" w:rsidRDefault="00F96B2C" w:rsidP="00BB30E7">
            <w:pPr>
              <w:pStyle w:val="VerkndetUser"/>
              <w:tabs>
                <w:tab w:val="clear" w:pos="6660"/>
                <w:tab w:val="left" w:pos="8732"/>
              </w:tabs>
              <w:spacing w:before="0"/>
              <w:ind w:right="0"/>
            </w:pPr>
            <w:r>
              <w:t>(Arbeitsgericht Nürnberg)</w:t>
            </w:r>
          </w:p>
          <w:p w:rsidR="0093068F" w:rsidRPr="00BB30E7" w:rsidRDefault="0093068F" w:rsidP="00BB30E7">
            <w:pPr>
              <w:pStyle w:val="VerkndetUser"/>
              <w:tabs>
                <w:tab w:val="clear" w:pos="6660"/>
                <w:tab w:val="left" w:pos="8732"/>
              </w:tabs>
              <w:spacing w:before="0"/>
              <w:ind w:right="0"/>
              <w:rPr>
                <w:sz w:val="20"/>
                <w:szCs w:val="20"/>
                <w:u w:val="single"/>
              </w:rPr>
            </w:pPr>
          </w:p>
          <w:p w:rsidR="0093068F" w:rsidRPr="00BB30E7" w:rsidRDefault="0093068F" w:rsidP="00BB30E7">
            <w:pPr>
              <w:pStyle w:val="VerkndetUser"/>
              <w:tabs>
                <w:tab w:val="clear" w:pos="6660"/>
                <w:tab w:val="left" w:pos="8732"/>
              </w:tabs>
              <w:spacing w:before="0"/>
              <w:ind w:right="0"/>
              <w:rPr>
                <w:sz w:val="20"/>
                <w:szCs w:val="20"/>
                <w:u w:val="single"/>
              </w:rPr>
            </w:pPr>
          </w:p>
        </w:tc>
        <w:tc>
          <w:tcPr>
            <w:tcW w:w="2520" w:type="dxa"/>
            <w:shd w:val="clear" w:color="auto" w:fill="auto"/>
          </w:tcPr>
          <w:p w:rsidR="0093068F" w:rsidRDefault="0093068F" w:rsidP="00BB30E7">
            <w:pPr>
              <w:pStyle w:val="VerkndetUser"/>
              <w:tabs>
                <w:tab w:val="clear" w:pos="6660"/>
                <w:tab w:val="left" w:pos="8732"/>
              </w:tabs>
              <w:spacing w:before="0"/>
              <w:ind w:right="0"/>
            </w:pPr>
          </w:p>
        </w:tc>
      </w:tr>
    </w:tbl>
    <w:p w:rsidR="0093068F" w:rsidRDefault="00CE0181" w:rsidP="00CE0181">
      <w:pPr>
        <w:pStyle w:val="VerkndetUDG"/>
        <w:rPr>
          <w:sz w:val="22"/>
          <w:szCs w:val="22"/>
        </w:rPr>
      </w:pPr>
      <w:r>
        <w:rPr>
          <w:sz w:val="22"/>
          <w:szCs w:val="22"/>
        </w:rPr>
        <w:t>Datum: 09.01.2019</w:t>
      </w:r>
    </w:p>
    <w:p w:rsidR="00CE0181" w:rsidRDefault="00CE0181" w:rsidP="00CE0181">
      <w:pPr>
        <w:pStyle w:val="VerkndetUDG"/>
        <w:rPr>
          <w:sz w:val="22"/>
          <w:szCs w:val="22"/>
        </w:rPr>
      </w:pPr>
    </w:p>
    <w:p w:rsidR="006B248B" w:rsidRDefault="00CE0181" w:rsidP="006B248B">
      <w:pPr>
        <w:spacing w:line="360" w:lineRule="auto"/>
        <w:rPr>
          <w:szCs w:val="22"/>
        </w:rPr>
      </w:pPr>
      <w:r>
        <w:rPr>
          <w:szCs w:val="22"/>
        </w:rPr>
        <w:t xml:space="preserve">Rechtsvorschriften: </w:t>
      </w:r>
      <w:r w:rsidR="006B248B" w:rsidRPr="006B248B">
        <w:rPr>
          <w:szCs w:val="22"/>
        </w:rPr>
        <w:t>§§ 615, 779 BGB</w:t>
      </w:r>
    </w:p>
    <w:p w:rsidR="006B248B" w:rsidRDefault="006B248B" w:rsidP="006B248B">
      <w:pPr>
        <w:spacing w:line="360" w:lineRule="auto"/>
        <w:rPr>
          <w:szCs w:val="22"/>
        </w:rPr>
      </w:pPr>
    </w:p>
    <w:p w:rsidR="006B248B" w:rsidRDefault="006B248B" w:rsidP="006B248B">
      <w:pPr>
        <w:rPr>
          <w:szCs w:val="22"/>
        </w:rPr>
      </w:pPr>
      <w:r>
        <w:rPr>
          <w:szCs w:val="22"/>
        </w:rPr>
        <w:t>Orientierungshilfe:</w:t>
      </w:r>
    </w:p>
    <w:p w:rsidR="006B248B" w:rsidRDefault="006B248B" w:rsidP="006B248B">
      <w:pPr>
        <w:rPr>
          <w:szCs w:val="22"/>
        </w:rPr>
      </w:pPr>
    </w:p>
    <w:p w:rsidR="006B248B" w:rsidRPr="006B248B" w:rsidRDefault="006B248B" w:rsidP="006B248B">
      <w:pPr>
        <w:rPr>
          <w:szCs w:val="22"/>
        </w:rPr>
      </w:pPr>
      <w:r w:rsidRPr="006B248B">
        <w:rPr>
          <w:szCs w:val="22"/>
        </w:rPr>
        <w:t>Regeln die Parteien im Vergleich eines Bestandsstreits, dass das Arbeitsverhältnis über den Zeitpunkt der fristlosen Kündigung während eines beschränkten Zeitraums fortbestanden hat und während dieses Zeitraums nur noch die Hälfte der bisherigen Vergütung abzurechnen ist, bedarf es für die Anrechnung eines Zwischenverdienstes einer ausdrücklichen Regelung im Vergleich; zumal dann, wenn die Abrechnung auch restliche Urlaubstage und Feiertage erfassen soll.</w:t>
      </w:r>
    </w:p>
    <w:p w:rsidR="00CE0181" w:rsidRDefault="00CE0181" w:rsidP="00CE0181">
      <w:pPr>
        <w:spacing w:line="360" w:lineRule="auto"/>
        <w:rPr>
          <w:szCs w:val="22"/>
        </w:rPr>
      </w:pPr>
    </w:p>
    <w:p w:rsidR="0093068F" w:rsidRDefault="0093068F">
      <w:pPr>
        <w:spacing w:line="360" w:lineRule="auto"/>
        <w:rPr>
          <w:rStyle w:val="pxZchn"/>
          <w:rFonts w:cs="Times New Roman"/>
          <w:szCs w:val="22"/>
        </w:rPr>
      </w:pPr>
    </w:p>
    <w:p w:rsidR="0093068F" w:rsidRPr="00CE0181" w:rsidRDefault="00CE0181" w:rsidP="00EB069D">
      <w:pPr>
        <w:spacing w:after="240" w:line="360" w:lineRule="auto"/>
        <w:jc w:val="center"/>
        <w:rPr>
          <w:rStyle w:val="pxZchn"/>
          <w:rFonts w:cs="Times New Roman"/>
          <w:b/>
          <w:sz w:val="28"/>
          <w:szCs w:val="28"/>
        </w:rPr>
      </w:pPr>
      <w:r w:rsidRPr="00CE0181">
        <w:rPr>
          <w:rStyle w:val="pxZchn"/>
          <w:rFonts w:cs="Times New Roman"/>
          <w:b/>
          <w:sz w:val="28"/>
          <w:szCs w:val="28"/>
        </w:rPr>
        <w:t>Urteil:</w:t>
      </w:r>
    </w:p>
    <w:p w:rsidR="00EB069D" w:rsidRPr="00EB069D" w:rsidRDefault="00EB069D" w:rsidP="00EB069D">
      <w:pPr>
        <w:rPr>
          <w:szCs w:val="22"/>
        </w:rPr>
      </w:pPr>
    </w:p>
    <w:p w:rsidR="00EB069D" w:rsidRPr="00EB069D" w:rsidRDefault="00EB069D" w:rsidP="00EB069D">
      <w:pPr>
        <w:numPr>
          <w:ilvl w:val="0"/>
          <w:numId w:val="13"/>
        </w:numPr>
        <w:spacing w:line="360" w:lineRule="auto"/>
        <w:rPr>
          <w:szCs w:val="22"/>
        </w:rPr>
      </w:pPr>
      <w:r w:rsidRPr="00EB069D">
        <w:rPr>
          <w:szCs w:val="22"/>
        </w:rPr>
        <w:t>Auf die Berufung der Klägerin wird das Endurteil des Arbeitsgerichts Nürnberg vom 13.07.2018, Az.: 10 Ca 5977/17, abgeändert.</w:t>
      </w:r>
      <w:r w:rsidRPr="00EB069D">
        <w:rPr>
          <w:szCs w:val="22"/>
        </w:rPr>
        <w:br/>
      </w:r>
    </w:p>
    <w:p w:rsidR="00EB069D" w:rsidRPr="00EB069D" w:rsidRDefault="00EB069D" w:rsidP="00EB069D">
      <w:pPr>
        <w:numPr>
          <w:ilvl w:val="0"/>
          <w:numId w:val="13"/>
        </w:numPr>
        <w:spacing w:line="360" w:lineRule="auto"/>
        <w:rPr>
          <w:szCs w:val="22"/>
        </w:rPr>
      </w:pPr>
      <w:r w:rsidRPr="00EB069D">
        <w:rPr>
          <w:szCs w:val="22"/>
        </w:rPr>
        <w:t>Die Beklagte wird verurteilt, an die Klägerin</w:t>
      </w:r>
      <w:r w:rsidRPr="00EB069D">
        <w:rPr>
          <w:szCs w:val="22"/>
        </w:rPr>
        <w:br/>
      </w:r>
      <w:r w:rsidRPr="00EB069D">
        <w:rPr>
          <w:szCs w:val="22"/>
        </w:rPr>
        <w:br/>
        <w:t>-  für Oktober 2015  1.343,75 € brutto abzüglich auf die Bundesagentur</w:t>
      </w:r>
      <w:r w:rsidRPr="00EB069D">
        <w:rPr>
          <w:szCs w:val="22"/>
        </w:rPr>
        <w:br/>
        <w:t xml:space="preserve">   übergegangener 1.021,80 € netto nebst 5 Prozentpunkte Zinsen über</w:t>
      </w:r>
      <w:r w:rsidRPr="00EB069D">
        <w:rPr>
          <w:szCs w:val="22"/>
        </w:rPr>
        <w:br/>
        <w:t xml:space="preserve">   dem Basiszinssatz aus 321,95 € brutto seit 01.11.2015,</w:t>
      </w:r>
      <w:r w:rsidRPr="00EB069D">
        <w:rPr>
          <w:szCs w:val="22"/>
        </w:rPr>
        <w:br/>
      </w:r>
      <w:r w:rsidRPr="00EB069D">
        <w:rPr>
          <w:szCs w:val="22"/>
        </w:rPr>
        <w:br/>
        <w:t>-  für November 2015  1.343,75 € brutto abzüglich auf die Bundesagentur</w:t>
      </w:r>
      <w:r w:rsidRPr="00EB069D">
        <w:rPr>
          <w:szCs w:val="22"/>
        </w:rPr>
        <w:br/>
        <w:t xml:space="preserve">   übergegangener 272,48 € netto nebst 5 Prozentpunkte Zinsen über dem</w:t>
      </w:r>
      <w:r w:rsidRPr="00EB069D">
        <w:rPr>
          <w:szCs w:val="22"/>
        </w:rPr>
        <w:br/>
        <w:t xml:space="preserve">   Basiszinssatz aus 1.071,27 € brutto seit 01.12.2015,</w:t>
      </w:r>
      <w:r w:rsidRPr="00EB069D">
        <w:rPr>
          <w:szCs w:val="22"/>
        </w:rPr>
        <w:br/>
      </w:r>
      <w:r w:rsidRPr="00EB069D">
        <w:rPr>
          <w:szCs w:val="22"/>
        </w:rPr>
        <w:br/>
        <w:t>-  für Dezember 2015  1.343,75 € brutto nebst 5 Prozentpunkte Zinsen</w:t>
      </w:r>
      <w:r w:rsidRPr="00EB069D">
        <w:rPr>
          <w:szCs w:val="22"/>
        </w:rPr>
        <w:br/>
        <w:t xml:space="preserve">   über dem Basiszinssatz hieraus seit 01.01.2016,</w:t>
      </w:r>
      <w:r w:rsidRPr="00EB069D">
        <w:rPr>
          <w:szCs w:val="22"/>
        </w:rPr>
        <w:br/>
      </w:r>
      <w:r w:rsidRPr="00EB069D">
        <w:rPr>
          <w:szCs w:val="22"/>
        </w:rPr>
        <w:br/>
        <w:t>-  für Januar 2016  1.343,75 € brutto nebst 5 Prozentpunkte Zinsen über</w:t>
      </w:r>
      <w:r w:rsidRPr="00EB069D">
        <w:rPr>
          <w:szCs w:val="22"/>
        </w:rPr>
        <w:br/>
        <w:t xml:space="preserve">   dem Basiszinssatz hieraus seit 01.02.2016 zu bezahlen sowie </w:t>
      </w:r>
      <w:r w:rsidRPr="00EB069D">
        <w:rPr>
          <w:szCs w:val="22"/>
        </w:rPr>
        <w:br/>
      </w:r>
      <w:r w:rsidRPr="00EB069D">
        <w:rPr>
          <w:szCs w:val="22"/>
        </w:rPr>
        <w:lastRenderedPageBreak/>
        <w:br/>
        <w:t>-  der Klägerin für die Monate Oktober 2015 bis einschließlich Januar 2016</w:t>
      </w:r>
      <w:r w:rsidRPr="00EB069D">
        <w:rPr>
          <w:szCs w:val="22"/>
        </w:rPr>
        <w:br/>
        <w:t xml:space="preserve">   Lohnabrechnungen über monatlich 1.343,75 € brutto zu erteilen.</w:t>
      </w:r>
      <w:r w:rsidRPr="00EB069D">
        <w:rPr>
          <w:szCs w:val="22"/>
        </w:rPr>
        <w:br/>
      </w:r>
      <w:r w:rsidRPr="00EB069D">
        <w:rPr>
          <w:szCs w:val="22"/>
        </w:rPr>
        <w:br/>
      </w:r>
    </w:p>
    <w:p w:rsidR="00EB069D" w:rsidRPr="00EB069D" w:rsidRDefault="00EB069D" w:rsidP="00EB069D">
      <w:pPr>
        <w:numPr>
          <w:ilvl w:val="0"/>
          <w:numId w:val="13"/>
        </w:numPr>
        <w:spacing w:line="360" w:lineRule="auto"/>
        <w:rPr>
          <w:szCs w:val="22"/>
        </w:rPr>
      </w:pPr>
      <w:r w:rsidRPr="00EB069D">
        <w:rPr>
          <w:szCs w:val="22"/>
        </w:rPr>
        <w:t>Die Kosten des Rechtsstreits hat die Beklagte zu tragen.</w:t>
      </w:r>
      <w:r w:rsidRPr="00EB069D">
        <w:rPr>
          <w:szCs w:val="22"/>
        </w:rPr>
        <w:br/>
      </w:r>
    </w:p>
    <w:p w:rsidR="0093068F" w:rsidRPr="00E219E6" w:rsidRDefault="00EB069D" w:rsidP="000B4D3B">
      <w:pPr>
        <w:numPr>
          <w:ilvl w:val="0"/>
          <w:numId w:val="13"/>
        </w:numPr>
        <w:spacing w:line="360" w:lineRule="auto"/>
        <w:rPr>
          <w:rStyle w:val="pxZchn"/>
          <w:rFonts w:cs="Times New Roman"/>
          <w:szCs w:val="22"/>
        </w:rPr>
      </w:pPr>
      <w:r w:rsidRPr="00E219E6">
        <w:rPr>
          <w:szCs w:val="22"/>
        </w:rPr>
        <w:t>Die Revision wird zugelassen.</w:t>
      </w:r>
    </w:p>
    <w:p w:rsidR="0093068F" w:rsidRDefault="00F96B2C" w:rsidP="00E92F0C">
      <w:pPr>
        <w:spacing w:before="480" w:after="360" w:line="360" w:lineRule="auto"/>
        <w:jc w:val="center"/>
        <w:rPr>
          <w:rStyle w:val="pxZchn"/>
          <w:rFonts w:cs="Times New Roman"/>
          <w:b/>
          <w:sz w:val="28"/>
          <w:szCs w:val="28"/>
        </w:rPr>
      </w:pPr>
      <w:r>
        <w:rPr>
          <w:rStyle w:val="pxZchn"/>
          <w:rFonts w:cs="Times New Roman"/>
          <w:b/>
          <w:sz w:val="28"/>
          <w:szCs w:val="28"/>
        </w:rPr>
        <w:t>Tatbestand:</w:t>
      </w:r>
    </w:p>
    <w:p w:rsidR="00E92F0C" w:rsidRPr="00D22839" w:rsidRDefault="00E92F0C" w:rsidP="00E219E6">
      <w:pPr>
        <w:spacing w:after="160" w:line="360" w:lineRule="auto"/>
        <w:rPr>
          <w:rFonts w:eastAsiaTheme="minorHAnsi" w:cs="Arial"/>
          <w:szCs w:val="22"/>
          <w:lang w:eastAsia="en-US"/>
        </w:rPr>
      </w:pPr>
      <w:r w:rsidRPr="00D22839">
        <w:rPr>
          <w:rFonts w:eastAsiaTheme="minorHAnsi" w:cs="Arial"/>
          <w:szCs w:val="22"/>
          <w:lang w:eastAsia="en-US"/>
        </w:rPr>
        <w:t>Die Parteien streiten über Zahlungsansprüche der Klägerin.</w:t>
      </w:r>
    </w:p>
    <w:p w:rsidR="00E92F0C" w:rsidRPr="00D22839" w:rsidRDefault="00E92F0C" w:rsidP="00AF7A89">
      <w:pPr>
        <w:spacing w:after="160" w:line="360" w:lineRule="auto"/>
        <w:rPr>
          <w:rFonts w:eastAsiaTheme="minorHAnsi" w:cs="Arial"/>
          <w:szCs w:val="22"/>
          <w:lang w:eastAsia="en-US"/>
        </w:rPr>
      </w:pPr>
      <w:r w:rsidRPr="00D22839">
        <w:rPr>
          <w:rFonts w:eastAsiaTheme="minorHAnsi" w:cs="Arial"/>
          <w:szCs w:val="22"/>
          <w:lang w:eastAsia="en-US"/>
        </w:rPr>
        <w:t xml:space="preserve">Die </w:t>
      </w:r>
      <w:r w:rsidR="00E219E6">
        <w:rPr>
          <w:rFonts w:eastAsiaTheme="minorHAnsi" w:cs="Arial"/>
          <w:szCs w:val="22"/>
          <w:lang w:eastAsia="en-US"/>
        </w:rPr>
        <w:t xml:space="preserve">am 26.12.1977 geborene </w:t>
      </w:r>
      <w:r w:rsidRPr="00D22839">
        <w:rPr>
          <w:rFonts w:eastAsiaTheme="minorHAnsi" w:cs="Arial"/>
          <w:szCs w:val="22"/>
          <w:lang w:eastAsia="en-US"/>
        </w:rPr>
        <w:t xml:space="preserve">Klägerin war bei der Beklagten </w:t>
      </w:r>
      <w:r w:rsidR="00E219E6">
        <w:rPr>
          <w:rFonts w:eastAsiaTheme="minorHAnsi" w:cs="Arial"/>
          <w:szCs w:val="22"/>
          <w:lang w:eastAsia="en-US"/>
        </w:rPr>
        <w:t xml:space="preserve">seit dem 01.01.1996 </w:t>
      </w:r>
      <w:r w:rsidRPr="00D22839">
        <w:rPr>
          <w:rFonts w:eastAsiaTheme="minorHAnsi" w:cs="Arial"/>
          <w:szCs w:val="22"/>
          <w:lang w:eastAsia="en-US"/>
        </w:rPr>
        <w:t>als Rechtsfachwirtin beschäftigt</w:t>
      </w:r>
      <w:r>
        <w:rPr>
          <w:rFonts w:eastAsiaTheme="minorHAnsi" w:cs="Arial"/>
          <w:szCs w:val="22"/>
          <w:lang w:eastAsia="en-US"/>
        </w:rPr>
        <w:t xml:space="preserve">, zuletzt </w:t>
      </w:r>
      <w:r w:rsidR="00E219E6">
        <w:rPr>
          <w:rFonts w:eastAsiaTheme="minorHAnsi" w:cs="Arial"/>
          <w:szCs w:val="22"/>
          <w:lang w:eastAsia="en-US"/>
        </w:rPr>
        <w:t xml:space="preserve">als Kanzleivorsteherin </w:t>
      </w:r>
      <w:r>
        <w:rPr>
          <w:rFonts w:eastAsiaTheme="minorHAnsi" w:cs="Arial"/>
          <w:szCs w:val="22"/>
          <w:lang w:eastAsia="en-US"/>
        </w:rPr>
        <w:t xml:space="preserve">zu einem monatlichen </w:t>
      </w:r>
      <w:r w:rsidRPr="00D22839">
        <w:rPr>
          <w:rFonts w:eastAsiaTheme="minorHAnsi" w:cs="Arial"/>
          <w:szCs w:val="22"/>
          <w:lang w:eastAsia="en-US"/>
        </w:rPr>
        <w:t xml:space="preserve">Bruttogehalt von EUR 2.687,50. </w:t>
      </w:r>
      <w:r w:rsidR="00E219E6">
        <w:rPr>
          <w:rFonts w:eastAsiaTheme="minorHAnsi" w:cs="Arial"/>
          <w:szCs w:val="22"/>
          <w:lang w:eastAsia="en-US"/>
        </w:rPr>
        <w:br/>
      </w:r>
      <w:r w:rsidR="00E219E6">
        <w:rPr>
          <w:rFonts w:eastAsiaTheme="minorHAnsi" w:cs="Arial"/>
          <w:szCs w:val="22"/>
          <w:lang w:eastAsia="en-US"/>
        </w:rPr>
        <w:br/>
      </w:r>
      <w:r w:rsidRPr="00D22839">
        <w:rPr>
          <w:rFonts w:eastAsiaTheme="minorHAnsi" w:cs="Arial"/>
          <w:szCs w:val="22"/>
          <w:lang w:eastAsia="en-US"/>
        </w:rPr>
        <w:t xml:space="preserve">Mit Schreiben vom 07.09.2015 kündigte die Beklagte das Arbeitsverhältnis außerordentlich fristlos. </w:t>
      </w:r>
      <w:r w:rsidR="00E219E6">
        <w:rPr>
          <w:rFonts w:eastAsiaTheme="minorHAnsi" w:cs="Arial"/>
          <w:szCs w:val="22"/>
          <w:lang w:eastAsia="en-US"/>
        </w:rPr>
        <w:br/>
      </w:r>
      <w:r w:rsidRPr="00D22839">
        <w:rPr>
          <w:rFonts w:eastAsiaTheme="minorHAnsi" w:cs="Arial"/>
          <w:szCs w:val="22"/>
          <w:lang w:eastAsia="en-US"/>
        </w:rPr>
        <w:t>De</w:t>
      </w:r>
      <w:r w:rsidR="00E219E6">
        <w:rPr>
          <w:rFonts w:eastAsiaTheme="minorHAnsi" w:cs="Arial"/>
          <w:szCs w:val="22"/>
          <w:lang w:eastAsia="en-US"/>
        </w:rPr>
        <w:t>r</w:t>
      </w:r>
      <w:r w:rsidRPr="00D22839">
        <w:rPr>
          <w:rFonts w:eastAsiaTheme="minorHAnsi" w:cs="Arial"/>
          <w:szCs w:val="22"/>
          <w:lang w:eastAsia="en-US"/>
        </w:rPr>
        <w:t xml:space="preserve"> hiergegen vor dem Arbeitsgericht Nürnberg </w:t>
      </w:r>
      <w:r w:rsidR="00E219E6" w:rsidRPr="00D22839">
        <w:rPr>
          <w:rFonts w:eastAsiaTheme="minorHAnsi" w:cs="Arial"/>
          <w:szCs w:val="22"/>
          <w:lang w:eastAsia="en-US"/>
        </w:rPr>
        <w:t xml:space="preserve">(Az. 4 Ca 5174/15) </w:t>
      </w:r>
      <w:r w:rsidRPr="00D22839">
        <w:rPr>
          <w:rFonts w:eastAsiaTheme="minorHAnsi" w:cs="Arial"/>
          <w:szCs w:val="22"/>
          <w:lang w:eastAsia="en-US"/>
        </w:rPr>
        <w:t>geführte Kündigungs</w:t>
      </w:r>
      <w:r w:rsidR="00E219E6">
        <w:rPr>
          <w:rFonts w:eastAsiaTheme="minorHAnsi" w:cs="Arial"/>
          <w:szCs w:val="22"/>
          <w:lang w:eastAsia="en-US"/>
        </w:rPr>
        <w:t xml:space="preserve">rechtsstreit </w:t>
      </w:r>
      <w:r w:rsidRPr="00D22839">
        <w:rPr>
          <w:rFonts w:eastAsiaTheme="minorHAnsi" w:cs="Arial"/>
          <w:szCs w:val="22"/>
          <w:lang w:eastAsia="en-US"/>
        </w:rPr>
        <w:t>endete in der mündlichen Verhandlung vom 15.03.2016 mit einem Vergleich</w:t>
      </w:r>
      <w:r w:rsidR="002B1F5E">
        <w:rPr>
          <w:rFonts w:eastAsiaTheme="minorHAnsi" w:cs="Arial"/>
          <w:szCs w:val="22"/>
          <w:lang w:eastAsia="en-US"/>
        </w:rPr>
        <w:t xml:space="preserve"> (</w:t>
      </w:r>
      <w:proofErr w:type="spellStart"/>
      <w:r w:rsidR="002B1F5E">
        <w:rPr>
          <w:rFonts w:eastAsiaTheme="minorHAnsi" w:cs="Arial"/>
          <w:szCs w:val="22"/>
          <w:lang w:eastAsia="en-US"/>
        </w:rPr>
        <w:t>Bl</w:t>
      </w:r>
      <w:proofErr w:type="spellEnd"/>
      <w:r w:rsidR="002B1F5E">
        <w:rPr>
          <w:rFonts w:eastAsiaTheme="minorHAnsi" w:cs="Arial"/>
          <w:szCs w:val="22"/>
          <w:lang w:eastAsia="en-US"/>
        </w:rPr>
        <w:t xml:space="preserve">. 8, 9 </w:t>
      </w:r>
      <w:proofErr w:type="spellStart"/>
      <w:r w:rsidR="002B1F5E">
        <w:rPr>
          <w:rFonts w:eastAsiaTheme="minorHAnsi" w:cs="Arial"/>
          <w:szCs w:val="22"/>
          <w:lang w:eastAsia="en-US"/>
        </w:rPr>
        <w:t>d.A</w:t>
      </w:r>
      <w:proofErr w:type="spellEnd"/>
      <w:r w:rsidR="002B1F5E">
        <w:rPr>
          <w:rFonts w:eastAsiaTheme="minorHAnsi" w:cs="Arial"/>
          <w:szCs w:val="22"/>
          <w:lang w:eastAsia="en-US"/>
        </w:rPr>
        <w:t>.)</w:t>
      </w:r>
      <w:r w:rsidRPr="00D22839">
        <w:rPr>
          <w:rFonts w:eastAsiaTheme="minorHAnsi" w:cs="Arial"/>
          <w:szCs w:val="22"/>
          <w:lang w:eastAsia="en-US"/>
        </w:rPr>
        <w:t xml:space="preserve">, wonach das Arbeitsverhältnis der Parteien aufgrund ordentlicher arbeitgeberseitiger Kündigung mit Ablauf des 31.01.2016 endete. </w:t>
      </w:r>
      <w:r w:rsidR="002B1F5E">
        <w:rPr>
          <w:rFonts w:eastAsiaTheme="minorHAnsi" w:cs="Arial"/>
          <w:szCs w:val="22"/>
          <w:lang w:eastAsia="en-US"/>
        </w:rPr>
        <w:br/>
      </w:r>
      <w:r w:rsidRPr="00D22839">
        <w:rPr>
          <w:rFonts w:eastAsiaTheme="minorHAnsi" w:cs="Arial"/>
          <w:szCs w:val="22"/>
          <w:lang w:eastAsia="en-US"/>
        </w:rPr>
        <w:t>In Ziffer 2 des Vergleiches war folgende Regelung enthalten:</w:t>
      </w:r>
      <w:r w:rsidR="00AF7A89">
        <w:rPr>
          <w:rFonts w:eastAsiaTheme="minorHAnsi" w:cs="Arial"/>
          <w:szCs w:val="22"/>
          <w:lang w:eastAsia="en-US"/>
        </w:rPr>
        <w:br/>
      </w:r>
      <w:r w:rsidRPr="00AF7A89">
        <w:rPr>
          <w:rFonts w:eastAsiaTheme="minorHAnsi" w:cs="Arial"/>
          <w:sz w:val="20"/>
          <w:szCs w:val="20"/>
          <w:lang w:eastAsia="en-US"/>
        </w:rPr>
        <w:t>„Die Beklagte rechnet das Arbeitsverhältnis bis zu dessen Beendigung auf Basis eines Bruttomonatsgehalts in Höhe von EUR 1.343,75 ordnungsgemäß ab und zahlt den entsprechenden Nettobetrag, vorbehaltlich auf Dritte übergegangener Ansprüche, an die Klägerin aus.“</w:t>
      </w:r>
      <w:r w:rsidRPr="00AF7A89">
        <w:rPr>
          <w:rFonts w:eastAsiaTheme="minorHAnsi" w:cs="Arial"/>
          <w:szCs w:val="22"/>
          <w:lang w:eastAsia="en-US"/>
        </w:rPr>
        <w:t xml:space="preserve"> </w:t>
      </w:r>
      <w:r w:rsidR="00EF3520">
        <w:rPr>
          <w:rFonts w:eastAsiaTheme="minorHAnsi" w:cs="Arial"/>
          <w:szCs w:val="22"/>
          <w:lang w:eastAsia="en-US"/>
        </w:rPr>
        <w:br/>
      </w:r>
      <w:r w:rsidR="002B1F5E">
        <w:rPr>
          <w:rFonts w:eastAsiaTheme="minorHAnsi" w:cs="Arial"/>
          <w:szCs w:val="22"/>
          <w:lang w:eastAsia="en-US"/>
        </w:rPr>
        <w:t xml:space="preserve">Die </w:t>
      </w:r>
      <w:r w:rsidRPr="00D22839">
        <w:rPr>
          <w:rFonts w:eastAsiaTheme="minorHAnsi" w:cs="Arial"/>
          <w:szCs w:val="22"/>
          <w:lang w:eastAsia="en-US"/>
        </w:rPr>
        <w:t xml:space="preserve">Ziffer 7 des Vergleiches enthielt eine </w:t>
      </w:r>
      <w:r w:rsidR="00EF3520">
        <w:rPr>
          <w:rFonts w:eastAsiaTheme="minorHAnsi" w:cs="Arial"/>
          <w:szCs w:val="22"/>
          <w:lang w:eastAsia="en-US"/>
        </w:rPr>
        <w:t xml:space="preserve">umfassende </w:t>
      </w:r>
      <w:r w:rsidRPr="00D22839">
        <w:rPr>
          <w:rFonts w:eastAsiaTheme="minorHAnsi" w:cs="Arial"/>
          <w:szCs w:val="22"/>
          <w:lang w:eastAsia="en-US"/>
        </w:rPr>
        <w:t>finanzielle Abgeltungsklausel.</w:t>
      </w:r>
    </w:p>
    <w:p w:rsidR="00E92F0C" w:rsidRPr="00D22839" w:rsidRDefault="00E92F0C" w:rsidP="00B341D1">
      <w:pPr>
        <w:spacing w:after="160" w:line="360" w:lineRule="auto"/>
        <w:rPr>
          <w:rFonts w:eastAsiaTheme="minorHAnsi" w:cs="Arial"/>
          <w:szCs w:val="22"/>
          <w:lang w:eastAsia="en-US"/>
        </w:rPr>
      </w:pPr>
      <w:r w:rsidRPr="00D22839">
        <w:rPr>
          <w:rFonts w:eastAsiaTheme="minorHAnsi" w:cs="Arial"/>
          <w:szCs w:val="22"/>
          <w:lang w:eastAsia="en-US"/>
        </w:rPr>
        <w:t xml:space="preserve">Die Klägerin </w:t>
      </w:r>
      <w:r w:rsidR="00FB74C9" w:rsidRPr="00D22839">
        <w:rPr>
          <w:rFonts w:eastAsiaTheme="minorHAnsi" w:cs="Arial"/>
          <w:szCs w:val="22"/>
          <w:lang w:eastAsia="en-US"/>
        </w:rPr>
        <w:t>erzielt</w:t>
      </w:r>
      <w:r w:rsidR="00FB74C9">
        <w:rPr>
          <w:rFonts w:eastAsiaTheme="minorHAnsi" w:cs="Arial"/>
          <w:szCs w:val="22"/>
          <w:lang w:eastAsia="en-US"/>
        </w:rPr>
        <w:t>e</w:t>
      </w:r>
      <w:r w:rsidRPr="00D22839">
        <w:rPr>
          <w:rFonts w:eastAsiaTheme="minorHAnsi" w:cs="Arial"/>
          <w:szCs w:val="22"/>
          <w:lang w:eastAsia="en-US"/>
        </w:rPr>
        <w:t xml:space="preserve"> </w:t>
      </w:r>
      <w:r w:rsidR="00EF3520">
        <w:rPr>
          <w:rFonts w:eastAsiaTheme="minorHAnsi" w:cs="Arial"/>
          <w:szCs w:val="22"/>
          <w:lang w:eastAsia="en-US"/>
        </w:rPr>
        <w:t>ab November 2015</w:t>
      </w:r>
      <w:r w:rsidRPr="00D22839">
        <w:rPr>
          <w:rFonts w:eastAsiaTheme="minorHAnsi" w:cs="Arial"/>
          <w:szCs w:val="22"/>
          <w:lang w:eastAsia="en-US"/>
        </w:rPr>
        <w:t xml:space="preserve"> anderweitige Einkünfte, die den Betrag von EUR 1.343,75</w:t>
      </w:r>
      <w:r>
        <w:rPr>
          <w:rFonts w:eastAsiaTheme="minorHAnsi" w:cs="Arial"/>
          <w:szCs w:val="22"/>
          <w:lang w:eastAsia="en-US"/>
        </w:rPr>
        <w:t xml:space="preserve"> pro Monat</w:t>
      </w:r>
      <w:r w:rsidRPr="00D22839">
        <w:rPr>
          <w:rFonts w:eastAsiaTheme="minorHAnsi" w:cs="Arial"/>
          <w:szCs w:val="22"/>
          <w:lang w:eastAsia="en-US"/>
        </w:rPr>
        <w:t xml:space="preserve"> übersti</w:t>
      </w:r>
      <w:r w:rsidR="00FB74C9">
        <w:rPr>
          <w:rFonts w:eastAsiaTheme="minorHAnsi" w:cs="Arial"/>
          <w:szCs w:val="22"/>
          <w:lang w:eastAsia="en-US"/>
        </w:rPr>
        <w:t>e</w:t>
      </w:r>
      <w:r w:rsidRPr="00D22839">
        <w:rPr>
          <w:rFonts w:eastAsiaTheme="minorHAnsi" w:cs="Arial"/>
          <w:szCs w:val="22"/>
          <w:lang w:eastAsia="en-US"/>
        </w:rPr>
        <w:t xml:space="preserve">gen. </w:t>
      </w:r>
    </w:p>
    <w:p w:rsidR="009526BA" w:rsidRDefault="00E92F0C" w:rsidP="000837D1">
      <w:pPr>
        <w:spacing w:after="160" w:line="360" w:lineRule="auto"/>
        <w:rPr>
          <w:rFonts w:eastAsiaTheme="minorHAnsi" w:cs="Arial"/>
          <w:szCs w:val="22"/>
          <w:lang w:eastAsia="en-US"/>
        </w:rPr>
      </w:pPr>
      <w:r w:rsidRPr="00D22839">
        <w:rPr>
          <w:rFonts w:eastAsiaTheme="minorHAnsi" w:cs="Arial"/>
          <w:szCs w:val="22"/>
          <w:lang w:eastAsia="en-US"/>
        </w:rPr>
        <w:t>Die Beklagte er</w:t>
      </w:r>
      <w:r w:rsidR="007350F8">
        <w:rPr>
          <w:rFonts w:eastAsiaTheme="minorHAnsi" w:cs="Arial"/>
          <w:szCs w:val="22"/>
          <w:lang w:eastAsia="en-US"/>
        </w:rPr>
        <w:t xml:space="preserve">stellte </w:t>
      </w:r>
      <w:r w:rsidR="00FB74C9">
        <w:rPr>
          <w:rFonts w:eastAsiaTheme="minorHAnsi" w:cs="Arial"/>
          <w:szCs w:val="22"/>
          <w:lang w:eastAsia="en-US"/>
        </w:rPr>
        <w:t xml:space="preserve">wegen dieses anderweitigen Verdienstes </w:t>
      </w:r>
      <w:r w:rsidR="007350F8" w:rsidRPr="00D22839">
        <w:rPr>
          <w:rFonts w:eastAsiaTheme="minorHAnsi" w:cs="Arial"/>
          <w:szCs w:val="22"/>
          <w:lang w:eastAsia="en-US"/>
        </w:rPr>
        <w:t xml:space="preserve">keine Abrechnung gemäß Ziffer 2 des Vergleiches und leistete auch keine </w:t>
      </w:r>
      <w:r w:rsidR="007350F8">
        <w:rPr>
          <w:rFonts w:eastAsiaTheme="minorHAnsi" w:cs="Arial"/>
          <w:szCs w:val="22"/>
          <w:lang w:eastAsia="en-US"/>
        </w:rPr>
        <w:t>Z</w:t>
      </w:r>
      <w:r w:rsidR="007350F8" w:rsidRPr="00D22839">
        <w:rPr>
          <w:rFonts w:eastAsiaTheme="minorHAnsi" w:cs="Arial"/>
          <w:szCs w:val="22"/>
          <w:lang w:eastAsia="en-US"/>
        </w:rPr>
        <w:t>ahlungen an die Klägerin</w:t>
      </w:r>
      <w:r w:rsidR="00B341D1">
        <w:rPr>
          <w:rFonts w:eastAsiaTheme="minorHAnsi" w:cs="Arial"/>
          <w:szCs w:val="22"/>
          <w:lang w:eastAsia="en-US"/>
        </w:rPr>
        <w:t xml:space="preserve">. </w:t>
      </w:r>
      <w:r w:rsidR="00FB74C9">
        <w:rPr>
          <w:rFonts w:eastAsiaTheme="minorHAnsi" w:cs="Arial"/>
          <w:szCs w:val="22"/>
          <w:lang w:eastAsia="en-US"/>
        </w:rPr>
        <w:br/>
      </w:r>
      <w:r w:rsidR="00B341D1">
        <w:rPr>
          <w:rFonts w:eastAsiaTheme="minorHAnsi" w:cs="Arial"/>
          <w:szCs w:val="22"/>
          <w:lang w:eastAsia="en-US"/>
        </w:rPr>
        <w:br/>
      </w:r>
      <w:r w:rsidR="00327393">
        <w:rPr>
          <w:rFonts w:eastAsiaTheme="minorHAnsi" w:cs="Arial"/>
          <w:szCs w:val="22"/>
          <w:lang w:eastAsia="en-US"/>
        </w:rPr>
        <w:lastRenderedPageBreak/>
        <w:t xml:space="preserve">Ein von der </w:t>
      </w:r>
      <w:r w:rsidR="00327393" w:rsidRPr="00D22839">
        <w:rPr>
          <w:rFonts w:eastAsiaTheme="minorHAnsi" w:cs="Arial"/>
          <w:szCs w:val="22"/>
          <w:lang w:eastAsia="en-US"/>
        </w:rPr>
        <w:t xml:space="preserve">die Klägerin </w:t>
      </w:r>
      <w:r w:rsidR="00327393">
        <w:rPr>
          <w:rFonts w:eastAsiaTheme="minorHAnsi" w:cs="Arial"/>
          <w:szCs w:val="22"/>
          <w:lang w:eastAsia="en-US"/>
        </w:rPr>
        <w:t>einge</w:t>
      </w:r>
      <w:r w:rsidR="00327393" w:rsidRPr="00D22839">
        <w:rPr>
          <w:rFonts w:eastAsiaTheme="minorHAnsi" w:cs="Arial"/>
          <w:szCs w:val="22"/>
          <w:lang w:eastAsia="en-US"/>
        </w:rPr>
        <w:t>leitete</w:t>
      </w:r>
      <w:r w:rsidR="00327393">
        <w:rPr>
          <w:rFonts w:eastAsiaTheme="minorHAnsi" w:cs="Arial"/>
          <w:szCs w:val="22"/>
          <w:lang w:eastAsia="en-US"/>
        </w:rPr>
        <w:t>s</w:t>
      </w:r>
      <w:r w:rsidR="00327393" w:rsidRPr="00D22839">
        <w:rPr>
          <w:rFonts w:eastAsiaTheme="minorHAnsi" w:cs="Arial"/>
          <w:szCs w:val="22"/>
          <w:lang w:eastAsia="en-US"/>
        </w:rPr>
        <w:t xml:space="preserve"> Zwangsvollstreckung</w:t>
      </w:r>
      <w:r w:rsidR="00327393">
        <w:rPr>
          <w:rFonts w:eastAsiaTheme="minorHAnsi" w:cs="Arial"/>
          <w:szCs w:val="22"/>
          <w:lang w:eastAsia="en-US"/>
        </w:rPr>
        <w:t xml:space="preserve">sverfahren blieb ohne Erfolg, denn nach dem </w:t>
      </w:r>
      <w:r w:rsidR="00327393" w:rsidRPr="00D22839">
        <w:rPr>
          <w:rFonts w:eastAsiaTheme="minorHAnsi" w:cs="Arial"/>
          <w:szCs w:val="22"/>
          <w:lang w:eastAsia="en-US"/>
        </w:rPr>
        <w:t>Beschluss des Landesarbeitsge</w:t>
      </w:r>
      <w:r w:rsidR="00327393">
        <w:rPr>
          <w:rFonts w:eastAsiaTheme="minorHAnsi" w:cs="Arial"/>
          <w:szCs w:val="22"/>
          <w:lang w:eastAsia="en-US"/>
        </w:rPr>
        <w:t>richts Nürnberg</w:t>
      </w:r>
      <w:r w:rsidR="00327393" w:rsidRPr="00B341D1">
        <w:rPr>
          <w:rFonts w:eastAsiaTheme="minorHAnsi" w:cs="Arial"/>
          <w:szCs w:val="22"/>
          <w:lang w:eastAsia="en-US"/>
        </w:rPr>
        <w:t xml:space="preserve"> </w:t>
      </w:r>
      <w:r w:rsidR="00327393" w:rsidRPr="00D22839">
        <w:rPr>
          <w:rFonts w:eastAsiaTheme="minorHAnsi" w:cs="Arial"/>
          <w:szCs w:val="22"/>
          <w:lang w:eastAsia="en-US"/>
        </w:rPr>
        <w:t>vom 11.09.2017</w:t>
      </w:r>
      <w:r w:rsidR="00327393">
        <w:rPr>
          <w:rFonts w:eastAsiaTheme="minorHAnsi" w:cs="Arial"/>
          <w:szCs w:val="22"/>
          <w:lang w:eastAsia="en-US"/>
        </w:rPr>
        <w:t>, Az. 7 Ta 28/17,</w:t>
      </w:r>
      <w:r w:rsidR="00327393" w:rsidRPr="00D22839">
        <w:rPr>
          <w:rFonts w:eastAsiaTheme="minorHAnsi" w:cs="Arial"/>
          <w:szCs w:val="22"/>
          <w:lang w:eastAsia="en-US"/>
        </w:rPr>
        <w:t xml:space="preserve"> w</w:t>
      </w:r>
      <w:r w:rsidR="00327393">
        <w:rPr>
          <w:rFonts w:eastAsiaTheme="minorHAnsi" w:cs="Arial"/>
          <w:szCs w:val="22"/>
          <w:lang w:eastAsia="en-US"/>
        </w:rPr>
        <w:t xml:space="preserve">ar der </w:t>
      </w:r>
      <w:r w:rsidR="00327393" w:rsidRPr="00D22839">
        <w:rPr>
          <w:rFonts w:eastAsiaTheme="minorHAnsi" w:cs="Arial"/>
          <w:szCs w:val="22"/>
          <w:lang w:eastAsia="en-US"/>
        </w:rPr>
        <w:t>Abrechnungstitel</w:t>
      </w:r>
      <w:r w:rsidR="00FB74C9">
        <w:rPr>
          <w:rFonts w:eastAsiaTheme="minorHAnsi" w:cs="Arial"/>
          <w:szCs w:val="22"/>
          <w:lang w:eastAsia="en-US"/>
        </w:rPr>
        <w:t xml:space="preserve"> in Bezug auf eine </w:t>
      </w:r>
      <w:r w:rsidRPr="00D22839">
        <w:rPr>
          <w:rFonts w:eastAsiaTheme="minorHAnsi" w:cs="Arial"/>
          <w:szCs w:val="22"/>
          <w:lang w:eastAsia="en-US"/>
        </w:rPr>
        <w:t xml:space="preserve">Anrechnung gemäß § 615 Satz 2 BGB </w:t>
      </w:r>
      <w:r w:rsidR="00FB74C9" w:rsidRPr="00D22839">
        <w:rPr>
          <w:rFonts w:eastAsiaTheme="minorHAnsi" w:cs="Arial"/>
          <w:szCs w:val="22"/>
          <w:lang w:eastAsia="en-US"/>
        </w:rPr>
        <w:t>nicht ausreichend</w:t>
      </w:r>
      <w:r w:rsidR="00FB74C9">
        <w:rPr>
          <w:rFonts w:eastAsiaTheme="minorHAnsi" w:cs="Arial"/>
          <w:szCs w:val="22"/>
          <w:lang w:eastAsia="en-US"/>
        </w:rPr>
        <w:t xml:space="preserve"> </w:t>
      </w:r>
      <w:r w:rsidR="00FB74C9" w:rsidRPr="00D22839">
        <w:rPr>
          <w:rFonts w:eastAsiaTheme="minorHAnsi" w:cs="Arial"/>
          <w:szCs w:val="22"/>
          <w:lang w:eastAsia="en-US"/>
        </w:rPr>
        <w:t>bestimmt</w:t>
      </w:r>
      <w:r w:rsidRPr="00D22839">
        <w:rPr>
          <w:rFonts w:eastAsiaTheme="minorHAnsi" w:cs="Arial"/>
          <w:szCs w:val="22"/>
          <w:lang w:eastAsia="en-US"/>
        </w:rPr>
        <w:t xml:space="preserve">. </w:t>
      </w:r>
      <w:r w:rsidR="009526BA">
        <w:rPr>
          <w:rFonts w:eastAsiaTheme="minorHAnsi" w:cs="Arial"/>
          <w:szCs w:val="22"/>
          <w:lang w:eastAsia="en-US"/>
        </w:rPr>
        <w:br/>
      </w:r>
    </w:p>
    <w:p w:rsidR="00E92F0C" w:rsidRPr="00D22839" w:rsidRDefault="00E92F0C" w:rsidP="000837D1">
      <w:pPr>
        <w:spacing w:after="160" w:line="360" w:lineRule="auto"/>
        <w:rPr>
          <w:rFonts w:eastAsiaTheme="minorHAnsi" w:cs="Arial"/>
          <w:szCs w:val="22"/>
          <w:lang w:eastAsia="en-US"/>
        </w:rPr>
      </w:pPr>
      <w:r w:rsidRPr="00D22839">
        <w:rPr>
          <w:rFonts w:eastAsiaTheme="minorHAnsi" w:cs="Arial"/>
          <w:szCs w:val="22"/>
          <w:lang w:eastAsia="en-US"/>
        </w:rPr>
        <w:t xml:space="preserve">Mit </w:t>
      </w:r>
      <w:r w:rsidR="000837D1">
        <w:rPr>
          <w:rFonts w:eastAsiaTheme="minorHAnsi" w:cs="Arial"/>
          <w:szCs w:val="22"/>
          <w:lang w:eastAsia="en-US"/>
        </w:rPr>
        <w:t xml:space="preserve">ihrer </w:t>
      </w:r>
      <w:r w:rsidRPr="00D22839">
        <w:rPr>
          <w:rFonts w:eastAsiaTheme="minorHAnsi" w:cs="Arial"/>
          <w:szCs w:val="22"/>
          <w:lang w:eastAsia="en-US"/>
        </w:rPr>
        <w:t xml:space="preserve">Klage vom 25.10.2017, beim Arbeitsgericht Nürnberg eingegangen am 30.10.2017 und der Beklagten zugestellt am 07.11.2017, </w:t>
      </w:r>
      <w:r w:rsidR="009526BA">
        <w:rPr>
          <w:rFonts w:eastAsiaTheme="minorHAnsi" w:cs="Arial"/>
          <w:szCs w:val="22"/>
          <w:lang w:eastAsia="en-US"/>
        </w:rPr>
        <w:t xml:space="preserve">verfolgt </w:t>
      </w:r>
      <w:r w:rsidRPr="00D22839">
        <w:rPr>
          <w:rFonts w:eastAsiaTheme="minorHAnsi" w:cs="Arial"/>
          <w:szCs w:val="22"/>
          <w:lang w:eastAsia="en-US"/>
        </w:rPr>
        <w:t xml:space="preserve">die Klägerin </w:t>
      </w:r>
      <w:r w:rsidR="000837D1">
        <w:rPr>
          <w:rFonts w:eastAsiaTheme="minorHAnsi" w:cs="Arial"/>
          <w:szCs w:val="22"/>
          <w:lang w:eastAsia="en-US"/>
        </w:rPr>
        <w:t xml:space="preserve">die </w:t>
      </w:r>
      <w:r w:rsidR="009526BA">
        <w:rPr>
          <w:rFonts w:eastAsiaTheme="minorHAnsi" w:cs="Arial"/>
          <w:szCs w:val="22"/>
          <w:lang w:eastAsia="en-US"/>
        </w:rPr>
        <w:t>Ansprüche aus</w:t>
      </w:r>
      <w:r w:rsidR="000837D1">
        <w:rPr>
          <w:rFonts w:eastAsiaTheme="minorHAnsi" w:cs="Arial"/>
          <w:szCs w:val="22"/>
          <w:lang w:eastAsia="en-US"/>
        </w:rPr>
        <w:t xml:space="preserve"> </w:t>
      </w:r>
      <w:r w:rsidR="000837D1" w:rsidRPr="00D22839">
        <w:rPr>
          <w:rFonts w:eastAsiaTheme="minorHAnsi" w:cs="Arial"/>
          <w:szCs w:val="22"/>
          <w:lang w:eastAsia="en-US"/>
        </w:rPr>
        <w:t xml:space="preserve">Ziffer 2 des Vergleiches </w:t>
      </w:r>
      <w:r w:rsidR="009526BA">
        <w:rPr>
          <w:rFonts w:eastAsiaTheme="minorHAnsi" w:cs="Arial"/>
          <w:szCs w:val="22"/>
          <w:lang w:eastAsia="en-US"/>
        </w:rPr>
        <w:t>gerichtlich weiter</w:t>
      </w:r>
      <w:r w:rsidRPr="00D22839">
        <w:rPr>
          <w:rFonts w:eastAsiaTheme="minorHAnsi" w:cs="Arial"/>
          <w:szCs w:val="22"/>
          <w:lang w:eastAsia="en-US"/>
        </w:rPr>
        <w:t xml:space="preserve">. </w:t>
      </w:r>
    </w:p>
    <w:p w:rsidR="009526BA" w:rsidRDefault="00E92F0C" w:rsidP="00706C12">
      <w:pPr>
        <w:spacing w:after="160" w:line="360" w:lineRule="auto"/>
        <w:rPr>
          <w:rFonts w:eastAsiaTheme="minorHAnsi" w:cs="Arial"/>
          <w:szCs w:val="22"/>
          <w:lang w:eastAsia="en-US"/>
        </w:rPr>
      </w:pPr>
      <w:r w:rsidRPr="00D22839">
        <w:rPr>
          <w:rFonts w:eastAsiaTheme="minorHAnsi" w:cs="Arial"/>
          <w:szCs w:val="22"/>
          <w:lang w:eastAsia="en-US"/>
        </w:rPr>
        <w:t xml:space="preserve">Die Klägerin meint, </w:t>
      </w:r>
      <w:r w:rsidR="000837D1">
        <w:rPr>
          <w:rFonts w:eastAsiaTheme="minorHAnsi" w:cs="Arial"/>
          <w:szCs w:val="22"/>
          <w:lang w:eastAsia="en-US"/>
        </w:rPr>
        <w:t>es</w:t>
      </w:r>
      <w:r w:rsidRPr="00D22839">
        <w:rPr>
          <w:rFonts w:eastAsiaTheme="minorHAnsi" w:cs="Arial"/>
          <w:szCs w:val="22"/>
          <w:lang w:eastAsia="en-US"/>
        </w:rPr>
        <w:t xml:space="preserve"> sei ein eigener </w:t>
      </w:r>
      <w:r w:rsidR="000837D1">
        <w:rPr>
          <w:rFonts w:eastAsiaTheme="minorHAnsi" w:cs="Arial"/>
          <w:szCs w:val="22"/>
          <w:lang w:eastAsia="en-US"/>
        </w:rPr>
        <w:t>Zahlungsa</w:t>
      </w:r>
      <w:r w:rsidRPr="00D22839">
        <w:rPr>
          <w:rFonts w:eastAsiaTheme="minorHAnsi" w:cs="Arial"/>
          <w:szCs w:val="22"/>
          <w:lang w:eastAsia="en-US"/>
        </w:rPr>
        <w:t xml:space="preserve">nspruch begründet </w:t>
      </w:r>
      <w:r>
        <w:rPr>
          <w:rFonts w:eastAsiaTheme="minorHAnsi" w:cs="Arial"/>
          <w:szCs w:val="22"/>
          <w:lang w:eastAsia="en-US"/>
        </w:rPr>
        <w:t>und eine Anrechnung gemäß §</w:t>
      </w:r>
      <w:r w:rsidRPr="00D22839">
        <w:rPr>
          <w:rFonts w:eastAsiaTheme="minorHAnsi" w:cs="Arial"/>
          <w:szCs w:val="22"/>
          <w:lang w:eastAsia="en-US"/>
        </w:rPr>
        <w:t xml:space="preserve"> 615 Satz 2 BGB nicht </w:t>
      </w:r>
      <w:r w:rsidR="00EA6BE1">
        <w:rPr>
          <w:rFonts w:eastAsiaTheme="minorHAnsi" w:cs="Arial"/>
          <w:szCs w:val="22"/>
          <w:lang w:eastAsia="en-US"/>
        </w:rPr>
        <w:t xml:space="preserve">vorgesehen </w:t>
      </w:r>
      <w:r w:rsidR="00EA6BE1" w:rsidRPr="00D22839">
        <w:rPr>
          <w:rFonts w:eastAsiaTheme="minorHAnsi" w:cs="Arial"/>
          <w:szCs w:val="22"/>
          <w:lang w:eastAsia="en-US"/>
        </w:rPr>
        <w:t>w</w:t>
      </w:r>
      <w:r w:rsidR="00EA6BE1">
        <w:rPr>
          <w:rFonts w:eastAsiaTheme="minorHAnsi" w:cs="Arial"/>
          <w:szCs w:val="22"/>
          <w:lang w:eastAsia="en-US"/>
        </w:rPr>
        <w:t>orden</w:t>
      </w:r>
      <w:r w:rsidRPr="00D22839">
        <w:rPr>
          <w:rFonts w:eastAsiaTheme="minorHAnsi" w:cs="Arial"/>
          <w:szCs w:val="22"/>
          <w:lang w:eastAsia="en-US"/>
        </w:rPr>
        <w:t xml:space="preserve">. Da </w:t>
      </w:r>
      <w:r w:rsidR="00EA6BE1">
        <w:rPr>
          <w:rFonts w:eastAsiaTheme="minorHAnsi" w:cs="Arial"/>
          <w:szCs w:val="22"/>
          <w:lang w:eastAsia="en-US"/>
        </w:rPr>
        <w:t>s</w:t>
      </w:r>
      <w:r w:rsidRPr="00D22839">
        <w:rPr>
          <w:rFonts w:eastAsiaTheme="minorHAnsi" w:cs="Arial"/>
          <w:szCs w:val="22"/>
          <w:lang w:eastAsia="en-US"/>
        </w:rPr>
        <w:t>ie im Vergleich auf 50 % ihres Lohnanspruches für den fraglichen Zeitraum verzichtet habe, h</w:t>
      </w:r>
      <w:r w:rsidR="00EA6BE1">
        <w:rPr>
          <w:rFonts w:eastAsiaTheme="minorHAnsi" w:cs="Arial"/>
          <w:szCs w:val="22"/>
          <w:lang w:eastAsia="en-US"/>
        </w:rPr>
        <w:t xml:space="preserve">ätte es </w:t>
      </w:r>
      <w:r w:rsidRPr="00D22839">
        <w:rPr>
          <w:rFonts w:eastAsiaTheme="minorHAnsi" w:cs="Arial"/>
          <w:szCs w:val="22"/>
          <w:lang w:eastAsia="en-US"/>
        </w:rPr>
        <w:t xml:space="preserve">für </w:t>
      </w:r>
      <w:r w:rsidR="00EA6BE1">
        <w:rPr>
          <w:rFonts w:eastAsiaTheme="minorHAnsi" w:cs="Arial"/>
          <w:szCs w:val="22"/>
          <w:lang w:eastAsia="en-US"/>
        </w:rPr>
        <w:t xml:space="preserve">eine </w:t>
      </w:r>
      <w:r w:rsidRPr="00D22839">
        <w:rPr>
          <w:rFonts w:eastAsiaTheme="minorHAnsi" w:cs="Arial"/>
          <w:szCs w:val="22"/>
          <w:lang w:eastAsia="en-US"/>
        </w:rPr>
        <w:t>weitere Anrechnung</w:t>
      </w:r>
      <w:r w:rsidR="00EA6BE1">
        <w:rPr>
          <w:rFonts w:eastAsiaTheme="minorHAnsi" w:cs="Arial"/>
          <w:szCs w:val="22"/>
          <w:lang w:eastAsia="en-US"/>
        </w:rPr>
        <w:t xml:space="preserve"> eines Zwischenverdienstes einer ausdrücklichen Regelung im Vergleich bedurft.</w:t>
      </w:r>
      <w:r w:rsidRPr="00D22839">
        <w:rPr>
          <w:rFonts w:eastAsiaTheme="minorHAnsi" w:cs="Arial"/>
          <w:szCs w:val="22"/>
          <w:lang w:eastAsia="en-US"/>
        </w:rPr>
        <w:t xml:space="preserve"> Aus der Abgeltungsklausel im Vergleich folge, dass die Parteien eine abschließende Regelung gewollt hätten. </w:t>
      </w:r>
    </w:p>
    <w:p w:rsidR="00706C12" w:rsidRDefault="00A56D5B" w:rsidP="00706C12">
      <w:pPr>
        <w:spacing w:after="160" w:line="360" w:lineRule="auto"/>
        <w:rPr>
          <w:rFonts w:eastAsiaTheme="minorHAnsi" w:cs="Arial"/>
          <w:szCs w:val="22"/>
          <w:lang w:eastAsia="en-US"/>
        </w:rPr>
      </w:pPr>
      <w:r>
        <w:rPr>
          <w:rFonts w:eastAsiaTheme="minorHAnsi" w:cs="Arial"/>
          <w:szCs w:val="22"/>
          <w:lang w:eastAsia="en-US"/>
        </w:rPr>
        <w:br/>
        <w:t xml:space="preserve">Wegen der Anträge der Parteien und ihres näheren Vorbringens im erstinstanzlichen Verfahren wird auf den Tatbestand der angefochtenen Entscheidung Bezug genommen. </w:t>
      </w:r>
      <w:r w:rsidR="00E63707">
        <w:rPr>
          <w:rFonts w:eastAsiaTheme="minorHAnsi" w:cs="Arial"/>
          <w:szCs w:val="22"/>
          <w:lang w:eastAsia="en-US"/>
        </w:rPr>
        <w:br/>
      </w:r>
      <w:r w:rsidR="00E63707">
        <w:rPr>
          <w:rFonts w:eastAsiaTheme="minorHAnsi" w:cs="Arial"/>
          <w:szCs w:val="22"/>
          <w:lang w:eastAsia="en-US"/>
        </w:rPr>
        <w:br/>
        <w:t>Das Arbeitsgericht Nürnberg hat mit Endurteil vom 13.07.2018 die Klage abgewiesen.</w:t>
      </w:r>
      <w:r w:rsidR="00E63707">
        <w:rPr>
          <w:rFonts w:eastAsiaTheme="minorHAnsi" w:cs="Arial"/>
          <w:szCs w:val="22"/>
          <w:lang w:eastAsia="en-US"/>
        </w:rPr>
        <w:br/>
        <w:t xml:space="preserve">Es hat dies im Wesentlichen damit begründet, </w:t>
      </w:r>
      <w:r w:rsidR="00706C12">
        <w:rPr>
          <w:rFonts w:eastAsiaTheme="minorHAnsi" w:cs="Arial"/>
          <w:szCs w:val="22"/>
          <w:lang w:eastAsia="en-US"/>
        </w:rPr>
        <w:t>e</w:t>
      </w:r>
      <w:r w:rsidR="00706C12" w:rsidRPr="00D22839">
        <w:rPr>
          <w:rFonts w:eastAsiaTheme="minorHAnsi" w:cs="Arial"/>
          <w:szCs w:val="22"/>
          <w:lang w:eastAsia="en-US"/>
        </w:rPr>
        <w:t>s best</w:t>
      </w:r>
      <w:r w:rsidR="00706C12">
        <w:rPr>
          <w:rFonts w:eastAsiaTheme="minorHAnsi" w:cs="Arial"/>
          <w:szCs w:val="22"/>
          <w:lang w:eastAsia="en-US"/>
        </w:rPr>
        <w:t xml:space="preserve">ünden </w:t>
      </w:r>
      <w:r w:rsidR="00706C12" w:rsidRPr="00D22839">
        <w:rPr>
          <w:rFonts w:eastAsiaTheme="minorHAnsi" w:cs="Arial"/>
          <w:szCs w:val="22"/>
          <w:lang w:eastAsia="en-US"/>
        </w:rPr>
        <w:t>keine Zahlungsansprüche der Klägerin</w:t>
      </w:r>
      <w:r w:rsidR="00706C12">
        <w:rPr>
          <w:rFonts w:eastAsiaTheme="minorHAnsi" w:cs="Arial"/>
          <w:szCs w:val="22"/>
          <w:lang w:eastAsia="en-US"/>
        </w:rPr>
        <w:t xml:space="preserve"> mehr</w:t>
      </w:r>
      <w:r w:rsidR="00706C12" w:rsidRPr="00D22839">
        <w:rPr>
          <w:rFonts w:eastAsiaTheme="minorHAnsi" w:cs="Arial"/>
          <w:szCs w:val="22"/>
          <w:lang w:eastAsia="en-US"/>
        </w:rPr>
        <w:t>, da sich die Beklagte nach Ausspruch der Kündigung in Annahmeverzug bef</w:t>
      </w:r>
      <w:r w:rsidR="00706C12">
        <w:rPr>
          <w:rFonts w:eastAsiaTheme="minorHAnsi" w:cs="Arial"/>
          <w:szCs w:val="22"/>
          <w:lang w:eastAsia="en-US"/>
        </w:rPr>
        <w:t>unden habe u</w:t>
      </w:r>
      <w:r w:rsidR="00706C12" w:rsidRPr="00D22839">
        <w:rPr>
          <w:rFonts w:eastAsiaTheme="minorHAnsi" w:cs="Arial"/>
          <w:szCs w:val="22"/>
          <w:lang w:eastAsia="en-US"/>
        </w:rPr>
        <w:t>nd eine Anrechnung anderweitige</w:t>
      </w:r>
      <w:r w:rsidR="00706C12">
        <w:rPr>
          <w:rFonts w:eastAsiaTheme="minorHAnsi" w:cs="Arial"/>
          <w:szCs w:val="22"/>
          <w:lang w:eastAsia="en-US"/>
        </w:rPr>
        <w:t>n</w:t>
      </w:r>
      <w:r w:rsidR="00706C12" w:rsidRPr="00D22839">
        <w:rPr>
          <w:rFonts w:eastAsiaTheme="minorHAnsi" w:cs="Arial"/>
          <w:szCs w:val="22"/>
          <w:lang w:eastAsia="en-US"/>
        </w:rPr>
        <w:t xml:space="preserve"> Verdienst</w:t>
      </w:r>
      <w:r w:rsidR="00A5715E">
        <w:rPr>
          <w:rFonts w:eastAsiaTheme="minorHAnsi" w:cs="Arial"/>
          <w:szCs w:val="22"/>
          <w:lang w:eastAsia="en-US"/>
        </w:rPr>
        <w:t>es</w:t>
      </w:r>
      <w:r w:rsidR="00706C12" w:rsidRPr="00D22839">
        <w:rPr>
          <w:rFonts w:eastAsiaTheme="minorHAnsi" w:cs="Arial"/>
          <w:szCs w:val="22"/>
          <w:lang w:eastAsia="en-US"/>
        </w:rPr>
        <w:t xml:space="preserve"> im streitgegenständlichen Zeitraum nach § </w:t>
      </w:r>
      <w:r w:rsidR="00706C12">
        <w:rPr>
          <w:rFonts w:eastAsiaTheme="minorHAnsi" w:cs="Arial"/>
          <w:szCs w:val="22"/>
          <w:lang w:eastAsia="en-US"/>
        </w:rPr>
        <w:t xml:space="preserve">615 Satz 2 BGB vorzunehmen sei. </w:t>
      </w:r>
      <w:r w:rsidR="00706C12" w:rsidRPr="00D22839">
        <w:rPr>
          <w:rFonts w:eastAsiaTheme="minorHAnsi" w:cs="Arial"/>
          <w:szCs w:val="22"/>
          <w:lang w:eastAsia="en-US"/>
        </w:rPr>
        <w:t>Die</w:t>
      </w:r>
      <w:r w:rsidR="00EA7D99">
        <w:rPr>
          <w:rFonts w:eastAsiaTheme="minorHAnsi" w:cs="Arial"/>
          <w:szCs w:val="22"/>
          <w:lang w:eastAsia="en-US"/>
        </w:rPr>
        <w:t>s ergebe di</w:t>
      </w:r>
      <w:r w:rsidR="00706C12" w:rsidRPr="00D22839">
        <w:rPr>
          <w:rFonts w:eastAsiaTheme="minorHAnsi" w:cs="Arial"/>
          <w:szCs w:val="22"/>
          <w:lang w:eastAsia="en-US"/>
        </w:rPr>
        <w:t xml:space="preserve">e Auslegung des Vergleichs vom 15.03.2016 </w:t>
      </w:r>
      <w:r w:rsidR="00A5715E">
        <w:rPr>
          <w:rFonts w:eastAsiaTheme="minorHAnsi" w:cs="Arial"/>
          <w:szCs w:val="22"/>
          <w:lang w:eastAsia="en-US"/>
        </w:rPr>
        <w:t xml:space="preserve">gem. </w:t>
      </w:r>
      <w:r w:rsidR="00A5715E" w:rsidRPr="00D22839">
        <w:rPr>
          <w:rFonts w:eastAsiaTheme="minorHAnsi" w:cs="Arial"/>
          <w:szCs w:val="22"/>
          <w:lang w:eastAsia="en-US"/>
        </w:rPr>
        <w:t>§§ 133, 157 BGB</w:t>
      </w:r>
      <w:r w:rsidR="00706C12" w:rsidRPr="00D22839">
        <w:rPr>
          <w:rFonts w:eastAsiaTheme="minorHAnsi" w:cs="Arial"/>
          <w:szCs w:val="22"/>
          <w:lang w:eastAsia="en-US"/>
        </w:rPr>
        <w:t>.</w:t>
      </w:r>
      <w:r w:rsidR="00A5715E" w:rsidRPr="00A5715E">
        <w:rPr>
          <w:rFonts w:eastAsiaTheme="minorHAnsi" w:cs="Arial"/>
          <w:szCs w:val="22"/>
          <w:lang w:eastAsia="en-US"/>
        </w:rPr>
        <w:t xml:space="preserve"> </w:t>
      </w:r>
      <w:r w:rsidR="00ED43A6">
        <w:rPr>
          <w:rFonts w:eastAsiaTheme="minorHAnsi" w:cs="Arial"/>
          <w:szCs w:val="22"/>
          <w:lang w:eastAsia="en-US"/>
        </w:rPr>
        <w:br/>
      </w:r>
      <w:r w:rsidR="00A5715E">
        <w:rPr>
          <w:rFonts w:eastAsiaTheme="minorHAnsi" w:cs="Arial"/>
          <w:szCs w:val="22"/>
          <w:lang w:eastAsia="en-US"/>
        </w:rPr>
        <w:t>Nach § 615 Satz 2 BGB mü</w:t>
      </w:r>
      <w:r w:rsidR="00A5715E" w:rsidRPr="00D22839">
        <w:rPr>
          <w:rFonts w:eastAsiaTheme="minorHAnsi" w:cs="Arial"/>
          <w:szCs w:val="22"/>
          <w:lang w:eastAsia="en-US"/>
        </w:rPr>
        <w:t>ss</w:t>
      </w:r>
      <w:r w:rsidR="00A5715E">
        <w:rPr>
          <w:rFonts w:eastAsiaTheme="minorHAnsi" w:cs="Arial"/>
          <w:szCs w:val="22"/>
          <w:lang w:eastAsia="en-US"/>
        </w:rPr>
        <w:t>e</w:t>
      </w:r>
      <w:r w:rsidR="00A5715E" w:rsidRPr="00D22839">
        <w:rPr>
          <w:rFonts w:eastAsiaTheme="minorHAnsi" w:cs="Arial"/>
          <w:szCs w:val="22"/>
          <w:lang w:eastAsia="en-US"/>
        </w:rPr>
        <w:t xml:space="preserve"> sich der Arbeitnehmer im Verzugszeitraum das anrechnen lassen, was er</w:t>
      </w:r>
      <w:r w:rsidR="00A5715E">
        <w:rPr>
          <w:rFonts w:eastAsiaTheme="minorHAnsi" w:cs="Arial"/>
          <w:szCs w:val="22"/>
          <w:lang w:eastAsia="en-US"/>
        </w:rPr>
        <w:t xml:space="preserve"> durch anderweitige Verwendung s</w:t>
      </w:r>
      <w:r w:rsidR="00A5715E" w:rsidRPr="00D22839">
        <w:rPr>
          <w:rFonts w:eastAsiaTheme="minorHAnsi" w:cs="Arial"/>
          <w:szCs w:val="22"/>
          <w:lang w:eastAsia="en-US"/>
        </w:rPr>
        <w:t xml:space="preserve">einer Dienste erworben hat. Die Regelung </w:t>
      </w:r>
      <w:r w:rsidR="00A5715E">
        <w:rPr>
          <w:rFonts w:eastAsiaTheme="minorHAnsi" w:cs="Arial"/>
          <w:szCs w:val="22"/>
          <w:lang w:eastAsia="en-US"/>
        </w:rPr>
        <w:t>sei</w:t>
      </w:r>
      <w:r w:rsidR="00A5715E" w:rsidRPr="00D22839">
        <w:rPr>
          <w:rFonts w:eastAsiaTheme="minorHAnsi" w:cs="Arial"/>
          <w:szCs w:val="22"/>
          <w:lang w:eastAsia="en-US"/>
        </w:rPr>
        <w:t xml:space="preserve"> abdingbar, die</w:t>
      </w:r>
      <w:r w:rsidR="00A5715E">
        <w:rPr>
          <w:rFonts w:eastAsiaTheme="minorHAnsi" w:cs="Arial"/>
          <w:szCs w:val="22"/>
          <w:lang w:eastAsia="en-US"/>
        </w:rPr>
        <w:t>s</w:t>
      </w:r>
      <w:r w:rsidR="00A5715E" w:rsidRPr="00D22839">
        <w:rPr>
          <w:rFonts w:eastAsiaTheme="minorHAnsi" w:cs="Arial"/>
          <w:szCs w:val="22"/>
          <w:lang w:eastAsia="en-US"/>
        </w:rPr>
        <w:t xml:space="preserve"> m</w:t>
      </w:r>
      <w:r w:rsidR="00A5715E">
        <w:rPr>
          <w:rFonts w:eastAsiaTheme="minorHAnsi" w:cs="Arial"/>
          <w:szCs w:val="22"/>
          <w:lang w:eastAsia="en-US"/>
        </w:rPr>
        <w:t>ü</w:t>
      </w:r>
      <w:r w:rsidR="00A5715E" w:rsidRPr="00D22839">
        <w:rPr>
          <w:rFonts w:eastAsiaTheme="minorHAnsi" w:cs="Arial"/>
          <w:szCs w:val="22"/>
          <w:lang w:eastAsia="en-US"/>
        </w:rPr>
        <w:t>ss</w:t>
      </w:r>
      <w:r w:rsidR="00A5715E">
        <w:rPr>
          <w:rFonts w:eastAsiaTheme="minorHAnsi" w:cs="Arial"/>
          <w:szCs w:val="22"/>
          <w:lang w:eastAsia="en-US"/>
        </w:rPr>
        <w:t>e</w:t>
      </w:r>
      <w:r w:rsidR="00A5715E" w:rsidRPr="00D22839">
        <w:rPr>
          <w:rFonts w:eastAsiaTheme="minorHAnsi" w:cs="Arial"/>
          <w:szCs w:val="22"/>
          <w:lang w:eastAsia="en-US"/>
        </w:rPr>
        <w:t xml:space="preserve"> ab</w:t>
      </w:r>
      <w:r w:rsidR="00914E1B">
        <w:rPr>
          <w:rFonts w:eastAsiaTheme="minorHAnsi" w:cs="Arial"/>
          <w:szCs w:val="22"/>
          <w:lang w:eastAsia="en-US"/>
        </w:rPr>
        <w:t>er zweifelsfrei vereinbart sein</w:t>
      </w:r>
      <w:r w:rsidR="00A5715E" w:rsidRPr="00D22839">
        <w:rPr>
          <w:rFonts w:eastAsiaTheme="minorHAnsi" w:cs="Arial"/>
          <w:szCs w:val="22"/>
          <w:lang w:eastAsia="en-US"/>
        </w:rPr>
        <w:t xml:space="preserve">.   </w:t>
      </w:r>
      <w:r w:rsidR="00ED43A6">
        <w:rPr>
          <w:rFonts w:eastAsiaTheme="minorHAnsi" w:cs="Arial"/>
          <w:szCs w:val="22"/>
          <w:lang w:eastAsia="en-US"/>
        </w:rPr>
        <w:br/>
      </w:r>
      <w:r w:rsidR="00ED43A6" w:rsidRPr="00D22839">
        <w:rPr>
          <w:rFonts w:eastAsiaTheme="minorHAnsi" w:cs="Arial"/>
          <w:szCs w:val="22"/>
          <w:lang w:eastAsia="en-US"/>
        </w:rPr>
        <w:t xml:space="preserve">Unter Ziffer 2 des Vergleichs </w:t>
      </w:r>
      <w:r w:rsidR="00ED43A6">
        <w:rPr>
          <w:rFonts w:eastAsiaTheme="minorHAnsi" w:cs="Arial"/>
          <w:szCs w:val="22"/>
          <w:lang w:eastAsia="en-US"/>
        </w:rPr>
        <w:t xml:space="preserve">sei </w:t>
      </w:r>
      <w:r w:rsidR="00ED43A6" w:rsidRPr="00D22839">
        <w:rPr>
          <w:rFonts w:eastAsiaTheme="minorHAnsi" w:cs="Arial"/>
          <w:szCs w:val="22"/>
          <w:lang w:eastAsia="en-US"/>
        </w:rPr>
        <w:t>die Abrechnung des Arbeitsverhältnisses auf Basis eines Bruttomonatsgehalts von 1.343,75 EUR vorgesehen und die Auszahlung des sich hieraus ergebenden Nettobetrages</w:t>
      </w:r>
      <w:r w:rsidR="00ED43A6">
        <w:rPr>
          <w:rFonts w:eastAsiaTheme="minorHAnsi" w:cs="Arial"/>
          <w:szCs w:val="22"/>
          <w:lang w:eastAsia="en-US"/>
        </w:rPr>
        <w:t xml:space="preserve"> geregelt worden</w:t>
      </w:r>
      <w:r w:rsidR="005A72D8">
        <w:rPr>
          <w:rFonts w:eastAsiaTheme="minorHAnsi" w:cs="Arial"/>
          <w:szCs w:val="22"/>
          <w:lang w:eastAsia="en-US"/>
        </w:rPr>
        <w:t>,</w:t>
      </w:r>
      <w:r w:rsidR="00ED43A6" w:rsidRPr="00D22839">
        <w:rPr>
          <w:rFonts w:eastAsiaTheme="minorHAnsi" w:cs="Arial"/>
          <w:szCs w:val="22"/>
          <w:lang w:eastAsia="en-US"/>
        </w:rPr>
        <w:t xml:space="preserve"> </w:t>
      </w:r>
      <w:r w:rsidR="005A72D8">
        <w:rPr>
          <w:rFonts w:eastAsiaTheme="minorHAnsi" w:cs="Arial"/>
          <w:szCs w:val="22"/>
          <w:lang w:eastAsia="en-US"/>
        </w:rPr>
        <w:t>d</w:t>
      </w:r>
      <w:r w:rsidR="00ED43A6">
        <w:rPr>
          <w:rFonts w:eastAsiaTheme="minorHAnsi" w:cs="Arial"/>
          <w:szCs w:val="22"/>
          <w:lang w:eastAsia="en-US"/>
        </w:rPr>
        <w:t>amit habe man k</w:t>
      </w:r>
      <w:r w:rsidR="00ED43A6" w:rsidRPr="00D22839">
        <w:rPr>
          <w:rFonts w:eastAsiaTheme="minorHAnsi" w:cs="Arial"/>
          <w:szCs w:val="22"/>
          <w:lang w:eastAsia="en-US"/>
        </w:rPr>
        <w:t xml:space="preserve">eine „direkte“ Zahlungsverpflichtung </w:t>
      </w:r>
      <w:r w:rsidR="00ED43A6">
        <w:rPr>
          <w:rFonts w:eastAsiaTheme="minorHAnsi" w:cs="Arial"/>
          <w:szCs w:val="22"/>
          <w:lang w:eastAsia="en-US"/>
        </w:rPr>
        <w:t xml:space="preserve">der Beklagten </w:t>
      </w:r>
      <w:r w:rsidR="00ED43A6" w:rsidRPr="00D22839">
        <w:rPr>
          <w:rFonts w:eastAsiaTheme="minorHAnsi" w:cs="Arial"/>
          <w:szCs w:val="22"/>
          <w:lang w:eastAsia="en-US"/>
        </w:rPr>
        <w:t xml:space="preserve">begründet. </w:t>
      </w:r>
      <w:r w:rsidR="000B0ABC">
        <w:rPr>
          <w:rFonts w:eastAsiaTheme="minorHAnsi" w:cs="Arial"/>
          <w:szCs w:val="22"/>
          <w:lang w:eastAsia="en-US"/>
        </w:rPr>
        <w:t>Mit „</w:t>
      </w:r>
      <w:r w:rsidR="00ED43A6" w:rsidRPr="00D22839">
        <w:rPr>
          <w:rFonts w:eastAsiaTheme="minorHAnsi" w:cs="Arial"/>
          <w:szCs w:val="22"/>
          <w:lang w:eastAsia="en-US"/>
        </w:rPr>
        <w:t>Abrechnung</w:t>
      </w:r>
      <w:r w:rsidR="000B0ABC">
        <w:rPr>
          <w:rFonts w:eastAsiaTheme="minorHAnsi" w:cs="Arial"/>
          <w:szCs w:val="22"/>
          <w:lang w:eastAsia="en-US"/>
        </w:rPr>
        <w:t xml:space="preserve">“ </w:t>
      </w:r>
      <w:r w:rsidR="00ED43A6" w:rsidRPr="00D22839">
        <w:rPr>
          <w:rFonts w:eastAsiaTheme="minorHAnsi" w:cs="Arial"/>
          <w:szCs w:val="22"/>
          <w:lang w:eastAsia="en-US"/>
        </w:rPr>
        <w:t>des Arbeitsverhältnisses mein</w:t>
      </w:r>
      <w:r w:rsidR="000B0ABC">
        <w:rPr>
          <w:rFonts w:eastAsiaTheme="minorHAnsi" w:cs="Arial"/>
          <w:szCs w:val="22"/>
          <w:lang w:eastAsia="en-US"/>
        </w:rPr>
        <w:t xml:space="preserve">e </w:t>
      </w:r>
      <w:r w:rsidR="000B0ABC">
        <w:rPr>
          <w:rFonts w:eastAsiaTheme="minorHAnsi" w:cs="Arial"/>
          <w:szCs w:val="22"/>
          <w:lang w:eastAsia="en-US"/>
        </w:rPr>
        <w:lastRenderedPageBreak/>
        <w:t xml:space="preserve">man </w:t>
      </w:r>
      <w:r w:rsidR="00ED43A6" w:rsidRPr="00D22839">
        <w:rPr>
          <w:rFonts w:eastAsiaTheme="minorHAnsi" w:cs="Arial"/>
          <w:szCs w:val="22"/>
          <w:lang w:eastAsia="en-US"/>
        </w:rPr>
        <w:t>die Aufstellung der sich aus dem Arbeitsverhältnis ergebenden gesetzlichen, tariflichen und vertraglichen Ansprüche. Eine Abrechnung betr</w:t>
      </w:r>
      <w:r w:rsidR="000B0ABC">
        <w:rPr>
          <w:rFonts w:eastAsiaTheme="minorHAnsi" w:cs="Arial"/>
          <w:szCs w:val="22"/>
          <w:lang w:eastAsia="en-US"/>
        </w:rPr>
        <w:t>e</w:t>
      </w:r>
      <w:r w:rsidR="00ED43A6" w:rsidRPr="00D22839">
        <w:rPr>
          <w:rFonts w:eastAsiaTheme="minorHAnsi" w:cs="Arial"/>
          <w:szCs w:val="22"/>
          <w:lang w:eastAsia="en-US"/>
        </w:rPr>
        <w:t>ff</w:t>
      </w:r>
      <w:r w:rsidR="000B0ABC">
        <w:rPr>
          <w:rFonts w:eastAsiaTheme="minorHAnsi" w:cs="Arial"/>
          <w:szCs w:val="22"/>
          <w:lang w:eastAsia="en-US"/>
        </w:rPr>
        <w:t>e</w:t>
      </w:r>
      <w:r w:rsidR="00ED43A6" w:rsidRPr="00D22839">
        <w:rPr>
          <w:rFonts w:eastAsiaTheme="minorHAnsi" w:cs="Arial"/>
          <w:szCs w:val="22"/>
          <w:lang w:eastAsia="en-US"/>
        </w:rPr>
        <w:t xml:space="preserve"> daher die tatsächlich bestehenden Ansprüche</w:t>
      </w:r>
      <w:r w:rsidR="008B6E49">
        <w:rPr>
          <w:rFonts w:eastAsiaTheme="minorHAnsi" w:cs="Arial"/>
          <w:szCs w:val="22"/>
          <w:lang w:eastAsia="en-US"/>
        </w:rPr>
        <w:t xml:space="preserve"> auf Basis der </w:t>
      </w:r>
      <w:r w:rsidR="00ED43A6" w:rsidRPr="00D22839">
        <w:rPr>
          <w:rFonts w:eastAsiaTheme="minorHAnsi" w:cs="Arial"/>
          <w:szCs w:val="22"/>
          <w:lang w:eastAsia="en-US"/>
        </w:rPr>
        <w:t>anzuwendenden Rechtsnormen</w:t>
      </w:r>
      <w:r w:rsidR="008B6E49">
        <w:rPr>
          <w:rFonts w:eastAsiaTheme="minorHAnsi" w:cs="Arial"/>
          <w:szCs w:val="22"/>
          <w:lang w:eastAsia="en-US"/>
        </w:rPr>
        <w:t xml:space="preserve">, zu denen </w:t>
      </w:r>
      <w:r w:rsidR="00ED43A6" w:rsidRPr="00D22839">
        <w:rPr>
          <w:rFonts w:eastAsiaTheme="minorHAnsi" w:cs="Arial"/>
          <w:szCs w:val="22"/>
          <w:lang w:eastAsia="en-US"/>
        </w:rPr>
        <w:t xml:space="preserve">auch die Anrechnung des anderweitigen Verdiensts nach § 615 Satz 2 BGB </w:t>
      </w:r>
      <w:r w:rsidR="008B6E49">
        <w:rPr>
          <w:rFonts w:eastAsiaTheme="minorHAnsi" w:cs="Arial"/>
          <w:szCs w:val="22"/>
          <w:lang w:eastAsia="en-US"/>
        </w:rPr>
        <w:t>zählte</w:t>
      </w:r>
      <w:r w:rsidR="00ED43A6" w:rsidRPr="00D22839">
        <w:rPr>
          <w:rFonts w:eastAsiaTheme="minorHAnsi" w:cs="Arial"/>
          <w:szCs w:val="22"/>
          <w:lang w:eastAsia="en-US"/>
        </w:rPr>
        <w:t>. Dass die Parteien im Vergleich einen konkreten Abrechnungsbetrag vereinbart h</w:t>
      </w:r>
      <w:r w:rsidR="008B6E49">
        <w:rPr>
          <w:rFonts w:eastAsiaTheme="minorHAnsi" w:cs="Arial"/>
          <w:szCs w:val="22"/>
          <w:lang w:eastAsia="en-US"/>
        </w:rPr>
        <w:t>ätten</w:t>
      </w:r>
      <w:r w:rsidR="00ED43A6" w:rsidRPr="00D22839">
        <w:rPr>
          <w:rFonts w:eastAsiaTheme="minorHAnsi" w:cs="Arial"/>
          <w:szCs w:val="22"/>
          <w:lang w:eastAsia="en-US"/>
        </w:rPr>
        <w:t>, der nur die Hälfte des durchschnittlichen Bruttomonatsgehalts der Klägerin entspr</w:t>
      </w:r>
      <w:r w:rsidR="008B6E49">
        <w:rPr>
          <w:rFonts w:eastAsiaTheme="minorHAnsi" w:cs="Arial"/>
          <w:szCs w:val="22"/>
          <w:lang w:eastAsia="en-US"/>
        </w:rPr>
        <w:t>e</w:t>
      </w:r>
      <w:r w:rsidR="00ED43A6" w:rsidRPr="00D22839">
        <w:rPr>
          <w:rFonts w:eastAsiaTheme="minorHAnsi" w:cs="Arial"/>
          <w:szCs w:val="22"/>
          <w:lang w:eastAsia="en-US"/>
        </w:rPr>
        <w:t>ch</w:t>
      </w:r>
      <w:r w:rsidR="008B6E49">
        <w:rPr>
          <w:rFonts w:eastAsiaTheme="minorHAnsi" w:cs="Arial"/>
          <w:szCs w:val="22"/>
          <w:lang w:eastAsia="en-US"/>
        </w:rPr>
        <w:t>e</w:t>
      </w:r>
      <w:r w:rsidR="00ED43A6" w:rsidRPr="00D22839">
        <w:rPr>
          <w:rFonts w:eastAsiaTheme="minorHAnsi" w:cs="Arial"/>
          <w:szCs w:val="22"/>
          <w:lang w:eastAsia="en-US"/>
        </w:rPr>
        <w:t xml:space="preserve">, </w:t>
      </w:r>
      <w:r w:rsidR="008B6E49">
        <w:rPr>
          <w:rFonts w:eastAsiaTheme="minorHAnsi" w:cs="Arial"/>
          <w:szCs w:val="22"/>
          <w:lang w:eastAsia="en-US"/>
        </w:rPr>
        <w:t>sei</w:t>
      </w:r>
      <w:r w:rsidR="00ED43A6" w:rsidRPr="00D22839">
        <w:rPr>
          <w:rFonts w:eastAsiaTheme="minorHAnsi" w:cs="Arial"/>
          <w:szCs w:val="22"/>
          <w:lang w:eastAsia="en-US"/>
        </w:rPr>
        <w:t xml:space="preserve"> insoweit für die Frage des § 615 Satz 2 BGB nicht von Bedeutung. Mit dieser Festlegung </w:t>
      </w:r>
      <w:r w:rsidR="008B6E49">
        <w:rPr>
          <w:rFonts w:eastAsiaTheme="minorHAnsi" w:cs="Arial"/>
          <w:szCs w:val="22"/>
          <w:lang w:eastAsia="en-US"/>
        </w:rPr>
        <w:t>sei</w:t>
      </w:r>
      <w:r w:rsidR="00ED43A6" w:rsidRPr="00D22839">
        <w:rPr>
          <w:rFonts w:eastAsiaTheme="minorHAnsi" w:cs="Arial"/>
          <w:szCs w:val="22"/>
          <w:lang w:eastAsia="en-US"/>
        </w:rPr>
        <w:t xml:space="preserve"> keine Aussage darüber verbunden, ob eine Anrechnung anderweitigen Verdienstes stattfinden soll</w:t>
      </w:r>
      <w:r w:rsidR="008B6E49">
        <w:rPr>
          <w:rFonts w:eastAsiaTheme="minorHAnsi" w:cs="Arial"/>
          <w:szCs w:val="22"/>
          <w:lang w:eastAsia="en-US"/>
        </w:rPr>
        <w:t>e</w:t>
      </w:r>
      <w:r w:rsidR="00ED43A6" w:rsidRPr="00D22839">
        <w:rPr>
          <w:rFonts w:eastAsiaTheme="minorHAnsi" w:cs="Arial"/>
          <w:szCs w:val="22"/>
          <w:lang w:eastAsia="en-US"/>
        </w:rPr>
        <w:t xml:space="preserve"> oder nicht. </w:t>
      </w:r>
      <w:r w:rsidR="006D7C5D">
        <w:rPr>
          <w:rFonts w:eastAsiaTheme="minorHAnsi" w:cs="Arial"/>
          <w:szCs w:val="22"/>
          <w:lang w:eastAsia="en-US"/>
        </w:rPr>
        <w:t>H</w:t>
      </w:r>
      <w:r w:rsidR="00ED43A6" w:rsidRPr="00D22839">
        <w:rPr>
          <w:rFonts w:eastAsiaTheme="minorHAnsi" w:cs="Arial"/>
          <w:szCs w:val="22"/>
          <w:lang w:eastAsia="en-US"/>
        </w:rPr>
        <w:t xml:space="preserve">ieraus </w:t>
      </w:r>
      <w:r w:rsidR="006D7C5D">
        <w:rPr>
          <w:rFonts w:eastAsiaTheme="minorHAnsi" w:cs="Arial"/>
          <w:szCs w:val="22"/>
          <w:lang w:eastAsia="en-US"/>
        </w:rPr>
        <w:t xml:space="preserve">könne </w:t>
      </w:r>
      <w:r w:rsidR="00ED43A6" w:rsidRPr="00D22839">
        <w:rPr>
          <w:rFonts w:eastAsiaTheme="minorHAnsi" w:cs="Arial"/>
          <w:szCs w:val="22"/>
          <w:lang w:eastAsia="en-US"/>
        </w:rPr>
        <w:t xml:space="preserve">nicht ohne weiteres auf den Willen der Vergleichsparteien geschlossen werden, die Beklagte </w:t>
      </w:r>
      <w:r w:rsidR="006D7C5D">
        <w:rPr>
          <w:rFonts w:eastAsiaTheme="minorHAnsi" w:cs="Arial"/>
          <w:szCs w:val="22"/>
          <w:lang w:eastAsia="en-US"/>
        </w:rPr>
        <w:t xml:space="preserve">müsse </w:t>
      </w:r>
      <w:r w:rsidR="00ED43A6" w:rsidRPr="00D22839">
        <w:rPr>
          <w:rFonts w:eastAsiaTheme="minorHAnsi" w:cs="Arial"/>
          <w:szCs w:val="22"/>
          <w:lang w:eastAsia="en-US"/>
        </w:rPr>
        <w:t xml:space="preserve">diesen Betrag vollkommen unabhängig von weiteren gesetzlichen Voraussetzungen wie eben dem § 615 Satz 2 BGB erbringen. </w:t>
      </w:r>
      <w:r w:rsidR="006D7C5D">
        <w:rPr>
          <w:rFonts w:eastAsiaTheme="minorHAnsi" w:cs="Arial"/>
          <w:szCs w:val="22"/>
          <w:lang w:eastAsia="en-US"/>
        </w:rPr>
        <w:t>Wä</w:t>
      </w:r>
      <w:r w:rsidR="00ED43A6" w:rsidRPr="00D22839">
        <w:rPr>
          <w:rFonts w:eastAsiaTheme="minorHAnsi" w:cs="Arial"/>
          <w:szCs w:val="22"/>
          <w:lang w:eastAsia="en-US"/>
        </w:rPr>
        <w:t>re die</w:t>
      </w:r>
      <w:r w:rsidR="00ED43A6">
        <w:rPr>
          <w:rFonts w:eastAsiaTheme="minorHAnsi" w:cs="Arial"/>
          <w:szCs w:val="22"/>
          <w:lang w:eastAsia="en-US"/>
        </w:rPr>
        <w:t>s</w:t>
      </w:r>
      <w:r w:rsidR="00ED43A6" w:rsidRPr="00D22839">
        <w:rPr>
          <w:rFonts w:eastAsiaTheme="minorHAnsi" w:cs="Arial"/>
          <w:szCs w:val="22"/>
          <w:lang w:eastAsia="en-US"/>
        </w:rPr>
        <w:t xml:space="preserve"> beabsichtigt gewesen, hätte man eine direkte Zahlungsverpflichtung vereinbart und nicht lediglich eine „Abrechnung“, die auf bereits bestehende Ansprüche Bezug n</w:t>
      </w:r>
      <w:r w:rsidR="006D7C5D">
        <w:rPr>
          <w:rFonts w:eastAsiaTheme="minorHAnsi" w:cs="Arial"/>
          <w:szCs w:val="22"/>
          <w:lang w:eastAsia="en-US"/>
        </w:rPr>
        <w:t>ehme</w:t>
      </w:r>
      <w:r w:rsidR="00ED43A6" w:rsidRPr="00D22839">
        <w:rPr>
          <w:rFonts w:eastAsiaTheme="minorHAnsi" w:cs="Arial"/>
          <w:szCs w:val="22"/>
          <w:lang w:eastAsia="en-US"/>
        </w:rPr>
        <w:t xml:space="preserve"> (</w:t>
      </w:r>
      <w:r w:rsidR="006D7C5D">
        <w:rPr>
          <w:rFonts w:eastAsiaTheme="minorHAnsi" w:cs="Arial"/>
          <w:szCs w:val="22"/>
          <w:lang w:eastAsia="en-US"/>
        </w:rPr>
        <w:t>hier</w:t>
      </w:r>
      <w:r w:rsidR="00914E1B">
        <w:rPr>
          <w:rFonts w:eastAsiaTheme="minorHAnsi" w:cs="Arial"/>
          <w:szCs w:val="22"/>
          <w:lang w:eastAsia="en-US"/>
        </w:rPr>
        <w:t xml:space="preserve">: </w:t>
      </w:r>
      <w:r w:rsidR="00ED43A6" w:rsidRPr="00D22839">
        <w:rPr>
          <w:rFonts w:eastAsiaTheme="minorHAnsi" w:cs="Arial"/>
          <w:szCs w:val="22"/>
          <w:lang w:eastAsia="en-US"/>
        </w:rPr>
        <w:t>Annahmeverzugslohn), jedoch keinen eigenen von § 615 BGB losgelösten Anspruch begründe. Auch aus dem letzten Halbsatz von Ziffer 2 des Vergleiches, in dem es heißt, dass die Auszahlung an die Klägerseite nicht erfolgt, soweit Ansprüche auf Dritte übergegangen sind, k</w:t>
      </w:r>
      <w:r w:rsidR="00C53E56">
        <w:rPr>
          <w:rFonts w:eastAsiaTheme="minorHAnsi" w:cs="Arial"/>
          <w:szCs w:val="22"/>
          <w:lang w:eastAsia="en-US"/>
        </w:rPr>
        <w:t>ö</w:t>
      </w:r>
      <w:r w:rsidR="00ED43A6" w:rsidRPr="00D22839">
        <w:rPr>
          <w:rFonts w:eastAsiaTheme="minorHAnsi" w:cs="Arial"/>
          <w:szCs w:val="22"/>
          <w:lang w:eastAsia="en-US"/>
        </w:rPr>
        <w:t>nn</w:t>
      </w:r>
      <w:r w:rsidR="00C53E56">
        <w:rPr>
          <w:rFonts w:eastAsiaTheme="minorHAnsi" w:cs="Arial"/>
          <w:szCs w:val="22"/>
          <w:lang w:eastAsia="en-US"/>
        </w:rPr>
        <w:t>e</w:t>
      </w:r>
      <w:r w:rsidR="00ED43A6" w:rsidRPr="00D22839">
        <w:rPr>
          <w:rFonts w:eastAsiaTheme="minorHAnsi" w:cs="Arial"/>
          <w:szCs w:val="22"/>
          <w:lang w:eastAsia="en-US"/>
        </w:rPr>
        <w:t xml:space="preserve"> nicht der Umkehrschluss gezogen werden, dass eine Anrechnung von Zwischenverdienst ausscheide. Das Problem der Anrechnung von Zwischenverdienst stell</w:t>
      </w:r>
      <w:r w:rsidR="00C53E56">
        <w:rPr>
          <w:rFonts w:eastAsiaTheme="minorHAnsi" w:cs="Arial"/>
          <w:szCs w:val="22"/>
          <w:lang w:eastAsia="en-US"/>
        </w:rPr>
        <w:t>e</w:t>
      </w:r>
      <w:r w:rsidR="00ED43A6" w:rsidRPr="00D22839">
        <w:rPr>
          <w:rFonts w:eastAsiaTheme="minorHAnsi" w:cs="Arial"/>
          <w:szCs w:val="22"/>
          <w:lang w:eastAsia="en-US"/>
        </w:rPr>
        <w:t xml:space="preserve"> sich </w:t>
      </w:r>
      <w:r w:rsidR="00914E1B">
        <w:rPr>
          <w:rFonts w:eastAsiaTheme="minorHAnsi" w:cs="Arial"/>
          <w:szCs w:val="22"/>
          <w:lang w:eastAsia="en-US"/>
        </w:rPr>
        <w:t xml:space="preserve">nämlich </w:t>
      </w:r>
      <w:r w:rsidR="00C53E56">
        <w:rPr>
          <w:rFonts w:eastAsiaTheme="minorHAnsi" w:cs="Arial"/>
          <w:szCs w:val="22"/>
          <w:lang w:eastAsia="en-US"/>
        </w:rPr>
        <w:t xml:space="preserve">schon </w:t>
      </w:r>
      <w:r w:rsidR="00ED43A6" w:rsidRPr="00D22839">
        <w:rPr>
          <w:rFonts w:eastAsiaTheme="minorHAnsi" w:cs="Arial"/>
          <w:szCs w:val="22"/>
          <w:lang w:eastAsia="en-US"/>
        </w:rPr>
        <w:t xml:space="preserve">bei der Frage der Abrechnung und nicht </w:t>
      </w:r>
      <w:r w:rsidR="00C53E56">
        <w:rPr>
          <w:rFonts w:eastAsiaTheme="minorHAnsi" w:cs="Arial"/>
          <w:szCs w:val="22"/>
          <w:lang w:eastAsia="en-US"/>
        </w:rPr>
        <w:t xml:space="preserve">erst </w:t>
      </w:r>
      <w:r w:rsidR="00ED43A6" w:rsidRPr="00D22839">
        <w:rPr>
          <w:rFonts w:eastAsiaTheme="minorHAnsi" w:cs="Arial"/>
          <w:szCs w:val="22"/>
          <w:lang w:eastAsia="en-US"/>
        </w:rPr>
        <w:t>bei der Auszahlung</w:t>
      </w:r>
      <w:r w:rsidR="00C53E56">
        <w:rPr>
          <w:rFonts w:eastAsiaTheme="minorHAnsi" w:cs="Arial"/>
          <w:szCs w:val="22"/>
          <w:lang w:eastAsia="en-US"/>
        </w:rPr>
        <w:t xml:space="preserve">, weshalb es </w:t>
      </w:r>
      <w:r w:rsidR="00ED43A6" w:rsidRPr="00D22839">
        <w:rPr>
          <w:rFonts w:eastAsiaTheme="minorHAnsi" w:cs="Arial"/>
          <w:szCs w:val="22"/>
          <w:lang w:eastAsia="en-US"/>
        </w:rPr>
        <w:t>konsequent</w:t>
      </w:r>
      <w:r w:rsidR="003247C4">
        <w:rPr>
          <w:rFonts w:eastAsiaTheme="minorHAnsi" w:cs="Arial"/>
          <w:szCs w:val="22"/>
          <w:lang w:eastAsia="en-US"/>
        </w:rPr>
        <w:t xml:space="preserve"> sei</w:t>
      </w:r>
      <w:r w:rsidR="00ED43A6" w:rsidRPr="00D22839">
        <w:rPr>
          <w:rFonts w:eastAsiaTheme="minorHAnsi" w:cs="Arial"/>
          <w:szCs w:val="22"/>
          <w:lang w:eastAsia="en-US"/>
        </w:rPr>
        <w:t xml:space="preserve">, es dort nicht </w:t>
      </w:r>
      <w:r w:rsidR="003247C4">
        <w:rPr>
          <w:rFonts w:eastAsiaTheme="minorHAnsi" w:cs="Arial"/>
          <w:szCs w:val="22"/>
          <w:lang w:eastAsia="en-US"/>
        </w:rPr>
        <w:t xml:space="preserve">zu </w:t>
      </w:r>
      <w:r w:rsidR="00ED43A6" w:rsidRPr="00D22839">
        <w:rPr>
          <w:rFonts w:eastAsiaTheme="minorHAnsi" w:cs="Arial"/>
          <w:szCs w:val="22"/>
          <w:lang w:eastAsia="en-US"/>
        </w:rPr>
        <w:t>erwähn</w:t>
      </w:r>
      <w:r w:rsidR="003247C4">
        <w:rPr>
          <w:rFonts w:eastAsiaTheme="minorHAnsi" w:cs="Arial"/>
          <w:szCs w:val="22"/>
          <w:lang w:eastAsia="en-US"/>
        </w:rPr>
        <w:t>en</w:t>
      </w:r>
      <w:r w:rsidR="00ED43A6" w:rsidRPr="00D22839">
        <w:rPr>
          <w:rFonts w:eastAsiaTheme="minorHAnsi" w:cs="Arial"/>
          <w:szCs w:val="22"/>
          <w:lang w:eastAsia="en-US"/>
        </w:rPr>
        <w:t xml:space="preserve"> (LAG Düsseldorf 01.07.2015 – 1 Sa 194/15).</w:t>
      </w:r>
      <w:r w:rsidR="003247C4">
        <w:rPr>
          <w:rFonts w:eastAsiaTheme="minorHAnsi" w:cs="Arial"/>
          <w:szCs w:val="22"/>
          <w:lang w:eastAsia="en-US"/>
        </w:rPr>
        <w:br/>
      </w:r>
      <w:r w:rsidR="00ED43A6" w:rsidRPr="00D22839">
        <w:rPr>
          <w:rFonts w:eastAsiaTheme="minorHAnsi" w:cs="Arial"/>
          <w:szCs w:val="22"/>
          <w:lang w:eastAsia="en-US"/>
        </w:rPr>
        <w:t>Auch die in Ziffer 6 des Vergleiches enthaltene Abgeltungsklausel steh</w:t>
      </w:r>
      <w:r w:rsidR="00D97AA6">
        <w:rPr>
          <w:rFonts w:eastAsiaTheme="minorHAnsi" w:cs="Arial"/>
          <w:szCs w:val="22"/>
          <w:lang w:eastAsia="en-US"/>
        </w:rPr>
        <w:t>e</w:t>
      </w:r>
      <w:r w:rsidR="00ED43A6" w:rsidRPr="00D22839">
        <w:rPr>
          <w:rFonts w:eastAsiaTheme="minorHAnsi" w:cs="Arial"/>
          <w:szCs w:val="22"/>
          <w:lang w:eastAsia="en-US"/>
        </w:rPr>
        <w:t xml:space="preserve"> dem vorstehenden Auslegungsergebnis nicht entgegen. Zwar </w:t>
      </w:r>
      <w:r w:rsidR="003247C4">
        <w:rPr>
          <w:rFonts w:eastAsiaTheme="minorHAnsi" w:cs="Arial"/>
          <w:szCs w:val="22"/>
          <w:lang w:eastAsia="en-US"/>
        </w:rPr>
        <w:t>sei</w:t>
      </w:r>
      <w:r w:rsidR="00ED43A6" w:rsidRPr="00D22839">
        <w:rPr>
          <w:rFonts w:eastAsiaTheme="minorHAnsi" w:cs="Arial"/>
          <w:szCs w:val="22"/>
          <w:lang w:eastAsia="en-US"/>
        </w:rPr>
        <w:t xml:space="preserve"> der Klägerin zuzugestehen, dass mit dem Vergleich eine abschließende Regelung getroffen werden sollte. Dies ist jedoch auch geschehen</w:t>
      </w:r>
      <w:r w:rsidR="003247C4">
        <w:rPr>
          <w:rFonts w:eastAsiaTheme="minorHAnsi" w:cs="Arial"/>
          <w:szCs w:val="22"/>
          <w:lang w:eastAsia="en-US"/>
        </w:rPr>
        <w:t>, da d</w:t>
      </w:r>
      <w:r w:rsidR="00ED43A6" w:rsidRPr="00D22839">
        <w:rPr>
          <w:rFonts w:eastAsiaTheme="minorHAnsi" w:cs="Arial"/>
          <w:szCs w:val="22"/>
          <w:lang w:eastAsia="en-US"/>
        </w:rPr>
        <w:t xml:space="preserve">ie Frage der Anrechnung anderweitigen Verdienstes nach § 615 Satz 2 BGB in Ziffer 2 des Vergleichs angelegt </w:t>
      </w:r>
      <w:r w:rsidR="003247C4">
        <w:rPr>
          <w:rFonts w:eastAsiaTheme="minorHAnsi" w:cs="Arial"/>
          <w:szCs w:val="22"/>
          <w:lang w:eastAsia="en-US"/>
        </w:rPr>
        <w:t>sei</w:t>
      </w:r>
      <w:r w:rsidR="00ED43A6" w:rsidRPr="00D22839">
        <w:rPr>
          <w:rFonts w:eastAsiaTheme="minorHAnsi" w:cs="Arial"/>
          <w:szCs w:val="22"/>
          <w:lang w:eastAsia="en-US"/>
        </w:rPr>
        <w:t xml:space="preserve">. </w:t>
      </w:r>
      <w:r w:rsidR="00451440">
        <w:rPr>
          <w:rFonts w:eastAsiaTheme="minorHAnsi" w:cs="Arial"/>
          <w:szCs w:val="22"/>
          <w:lang w:eastAsia="en-US"/>
        </w:rPr>
        <w:br/>
      </w:r>
    </w:p>
    <w:p w:rsidR="00F751D5" w:rsidRPr="00D22839" w:rsidRDefault="00F751D5" w:rsidP="00706C12">
      <w:pPr>
        <w:spacing w:after="160" w:line="360" w:lineRule="auto"/>
        <w:contextualSpacing/>
        <w:rPr>
          <w:rFonts w:eastAsiaTheme="minorHAnsi" w:cs="Arial"/>
          <w:szCs w:val="22"/>
          <w:lang w:eastAsia="en-US"/>
        </w:rPr>
      </w:pPr>
      <w:r>
        <w:rPr>
          <w:rFonts w:eastAsiaTheme="minorHAnsi" w:cs="Arial"/>
          <w:szCs w:val="22"/>
          <w:lang w:eastAsia="en-US"/>
        </w:rPr>
        <w:t>Gegen das den Prozessbevollmächtigten der Klägerin am 25.07.2018 zugestellte Endurteil haben diese mit dem am 22.08.2018 beim Landesarbeitsgericht Nürnberg eingegangenen Schriftsatz vom 20.08.2018 Berufung eingelegt und sie mit Schriftsatz vom 27.08.2018, beim Landesarbeitsgericht Nürnberg eingegangen am 29.08.2018, begründet.</w:t>
      </w:r>
    </w:p>
    <w:p w:rsidR="00E92F0C" w:rsidRPr="00D22839" w:rsidRDefault="00643624" w:rsidP="00A56D5B">
      <w:pPr>
        <w:spacing w:after="160" w:line="360" w:lineRule="auto"/>
        <w:rPr>
          <w:rFonts w:eastAsiaTheme="minorHAnsi" w:cs="Arial"/>
          <w:szCs w:val="22"/>
          <w:lang w:eastAsia="en-US"/>
        </w:rPr>
      </w:pPr>
      <w:r>
        <w:rPr>
          <w:rFonts w:eastAsiaTheme="minorHAnsi" w:cs="Arial"/>
          <w:szCs w:val="22"/>
          <w:lang w:eastAsia="en-US"/>
        </w:rPr>
        <w:lastRenderedPageBreak/>
        <w:br/>
      </w:r>
      <w:r w:rsidR="00A34E25">
        <w:rPr>
          <w:rFonts w:eastAsiaTheme="minorHAnsi" w:cs="Arial"/>
          <w:szCs w:val="22"/>
          <w:lang w:eastAsia="en-US"/>
        </w:rPr>
        <w:t xml:space="preserve">Die Klägerin meint, das Erstgericht habe die in Ziffer 2 des Vergleiches getroffene Vereinbarung unzutreffend ausgelegt. In dem Bestandsstreit über eine fristlose und hilfsweise ordentliche Kündigung hätten die Parteien in Bezug auf das Vertragsende und die bis dahin zu bewirkenden Leistungen eigenständige </w:t>
      </w:r>
      <w:r w:rsidR="00997F12">
        <w:rPr>
          <w:rFonts w:eastAsiaTheme="minorHAnsi" w:cs="Arial"/>
          <w:szCs w:val="22"/>
          <w:lang w:eastAsia="en-US"/>
        </w:rPr>
        <w:t>Regelungen getroffen und nicht lediglich auf bestehende gesetzliche und vertragliche Rechte Bezug genommen. Die für eine ordentliche Kündigung zu wahrende Frist wäre nämlich erst zum 31.03.201</w:t>
      </w:r>
      <w:r w:rsidR="00D97AA6">
        <w:rPr>
          <w:rFonts w:eastAsiaTheme="minorHAnsi" w:cs="Arial"/>
          <w:szCs w:val="22"/>
          <w:lang w:eastAsia="en-US"/>
        </w:rPr>
        <w:t>6</w:t>
      </w:r>
      <w:r w:rsidR="00997F12">
        <w:rPr>
          <w:rFonts w:eastAsiaTheme="minorHAnsi" w:cs="Arial"/>
          <w:szCs w:val="22"/>
          <w:lang w:eastAsia="en-US"/>
        </w:rPr>
        <w:t xml:space="preserve"> abgelaufen und nicht zu dem im </w:t>
      </w:r>
      <w:r w:rsidR="006771A2">
        <w:rPr>
          <w:rFonts w:eastAsiaTheme="minorHAnsi" w:cs="Arial"/>
          <w:szCs w:val="22"/>
          <w:lang w:eastAsia="en-US"/>
        </w:rPr>
        <w:t xml:space="preserve">Ziffer 1 des </w:t>
      </w:r>
      <w:r w:rsidR="00997F12">
        <w:rPr>
          <w:rFonts w:eastAsiaTheme="minorHAnsi" w:cs="Arial"/>
          <w:szCs w:val="22"/>
          <w:lang w:eastAsia="en-US"/>
        </w:rPr>
        <w:t>Vergleich</w:t>
      </w:r>
      <w:r w:rsidR="006771A2">
        <w:rPr>
          <w:rFonts w:eastAsiaTheme="minorHAnsi" w:cs="Arial"/>
          <w:szCs w:val="22"/>
          <w:lang w:eastAsia="en-US"/>
        </w:rPr>
        <w:t>es</w:t>
      </w:r>
      <w:r w:rsidR="00997F12">
        <w:rPr>
          <w:rFonts w:eastAsiaTheme="minorHAnsi" w:cs="Arial"/>
          <w:szCs w:val="22"/>
          <w:lang w:eastAsia="en-US"/>
        </w:rPr>
        <w:t xml:space="preserve"> festgelegten Termin 31.01.2016. Es sollte auch nicht d</w:t>
      </w:r>
      <w:r w:rsidR="006C06A3">
        <w:rPr>
          <w:rFonts w:eastAsiaTheme="minorHAnsi" w:cs="Arial"/>
          <w:szCs w:val="22"/>
          <w:lang w:eastAsia="en-US"/>
        </w:rPr>
        <w:t>as gesamte Bruttomonatsgehalt als der aus der Ziffer 1 des Vergleiches resultierende Annahmeverzugslohn abgerechnet werden, sondern nur der im Vergleich konkret bezifferte Betrag (hälftige Monatsvergütung).</w:t>
      </w:r>
      <w:r w:rsidR="006771A2">
        <w:rPr>
          <w:rFonts w:eastAsiaTheme="minorHAnsi" w:cs="Arial"/>
          <w:szCs w:val="22"/>
          <w:lang w:eastAsia="en-US"/>
        </w:rPr>
        <w:t xml:space="preserve"> Dieser bestimmte Betrag sollte </w:t>
      </w:r>
      <w:r w:rsidR="000933FE">
        <w:rPr>
          <w:rFonts w:eastAsiaTheme="minorHAnsi" w:cs="Arial"/>
          <w:szCs w:val="22"/>
          <w:lang w:eastAsia="en-US"/>
        </w:rPr>
        <w:t xml:space="preserve">an die Klägerin nur vorbehaltlich auf Dritte übergegangener Ansprüche gezahlt werden und keiner sonstigen Reduzierung unterliegen, denn es habe eine abschließende und umfassende </w:t>
      </w:r>
      <w:r w:rsidR="0024064A">
        <w:rPr>
          <w:rFonts w:eastAsiaTheme="minorHAnsi" w:cs="Arial"/>
          <w:szCs w:val="22"/>
          <w:lang w:eastAsia="en-US"/>
        </w:rPr>
        <w:t xml:space="preserve">Regelung </w:t>
      </w:r>
      <w:r w:rsidR="000933FE">
        <w:rPr>
          <w:rFonts w:eastAsiaTheme="minorHAnsi" w:cs="Arial"/>
          <w:szCs w:val="22"/>
          <w:lang w:eastAsia="en-US"/>
        </w:rPr>
        <w:t xml:space="preserve">aller das Arbeitsverhältnis betreffender Rechte und Pflichten </w:t>
      </w:r>
      <w:r w:rsidR="0024064A">
        <w:rPr>
          <w:rFonts w:eastAsiaTheme="minorHAnsi" w:cs="Arial"/>
          <w:szCs w:val="22"/>
          <w:lang w:eastAsia="en-US"/>
        </w:rPr>
        <w:t xml:space="preserve">erfolgen sollen, wie sich aus dem restlichen Inhalt des Vergleiches ergebe. Keinesfalls hätte sie eine Vergütungsregelung auf Basis einer Nulllösung akzeptiert. </w:t>
      </w:r>
    </w:p>
    <w:p w:rsidR="00E92F0C" w:rsidRPr="00D22839" w:rsidRDefault="00E92F0C" w:rsidP="00E92F0C">
      <w:pPr>
        <w:spacing w:after="160" w:line="360" w:lineRule="auto"/>
        <w:jc w:val="both"/>
        <w:rPr>
          <w:rFonts w:eastAsiaTheme="minorHAnsi" w:cs="Arial"/>
          <w:szCs w:val="22"/>
          <w:lang w:eastAsia="en-US"/>
        </w:rPr>
      </w:pPr>
    </w:p>
    <w:p w:rsidR="00E63707" w:rsidRDefault="00E63707" w:rsidP="00E63707">
      <w:pPr>
        <w:spacing w:after="120" w:line="360" w:lineRule="auto"/>
        <w:rPr>
          <w:rStyle w:val="pxZchn"/>
          <w:rFonts w:cs="Times New Roman"/>
          <w:szCs w:val="22"/>
        </w:rPr>
      </w:pPr>
      <w:r>
        <w:rPr>
          <w:rStyle w:val="pxZchn"/>
          <w:rFonts w:cs="Times New Roman"/>
          <w:szCs w:val="22"/>
        </w:rPr>
        <w:t xml:space="preserve">Die </w:t>
      </w:r>
      <w:r w:rsidRPr="00E60A30">
        <w:rPr>
          <w:rStyle w:val="pxZchn"/>
          <w:rFonts w:cs="Times New Roman"/>
          <w:szCs w:val="22"/>
        </w:rPr>
        <w:t>Kläger</w:t>
      </w:r>
      <w:r>
        <w:rPr>
          <w:rStyle w:val="pxZchn"/>
          <w:rFonts w:cs="Times New Roman"/>
          <w:szCs w:val="22"/>
        </w:rPr>
        <w:t xml:space="preserve">in und Berufungsklägerin </w:t>
      </w:r>
      <w:r w:rsidR="00D97AA6">
        <w:rPr>
          <w:rStyle w:val="pxZchn"/>
          <w:rFonts w:cs="Times New Roman"/>
          <w:szCs w:val="22"/>
        </w:rPr>
        <w:t>beantragt</w:t>
      </w:r>
      <w:r>
        <w:rPr>
          <w:rStyle w:val="pxZchn"/>
          <w:rFonts w:cs="Times New Roman"/>
          <w:szCs w:val="22"/>
        </w:rPr>
        <w:t>:</w:t>
      </w:r>
      <w:r w:rsidR="00D97AA6">
        <w:rPr>
          <w:rStyle w:val="pxZchn"/>
          <w:rFonts w:cs="Times New Roman"/>
          <w:szCs w:val="22"/>
        </w:rPr>
        <w:br/>
      </w:r>
    </w:p>
    <w:p w:rsidR="00E63707" w:rsidRPr="00E60A30" w:rsidRDefault="00E63707" w:rsidP="00E63707">
      <w:pPr>
        <w:numPr>
          <w:ilvl w:val="0"/>
          <w:numId w:val="14"/>
        </w:numPr>
        <w:rPr>
          <w:szCs w:val="22"/>
        </w:rPr>
      </w:pPr>
      <w:r w:rsidRPr="00E60A30">
        <w:rPr>
          <w:szCs w:val="22"/>
        </w:rPr>
        <w:t xml:space="preserve">Unter Abänderung des am 13.07.2018 verkündeten Endurteils des </w:t>
      </w:r>
      <w:r>
        <w:rPr>
          <w:szCs w:val="22"/>
        </w:rPr>
        <w:br/>
      </w:r>
      <w:r w:rsidRPr="00E60A30">
        <w:rPr>
          <w:szCs w:val="22"/>
        </w:rPr>
        <w:t xml:space="preserve">Arbeitsgerichts Nürnberg, Aktenzeichen 10 Ca 5977/17 wird die </w:t>
      </w:r>
      <w:r>
        <w:rPr>
          <w:szCs w:val="22"/>
        </w:rPr>
        <w:br/>
      </w:r>
      <w:r w:rsidRPr="00E60A30">
        <w:rPr>
          <w:szCs w:val="22"/>
        </w:rPr>
        <w:t>Beklagte verurteilt, an die Klägerin</w:t>
      </w:r>
      <w:r w:rsidRPr="00E60A30">
        <w:rPr>
          <w:szCs w:val="22"/>
        </w:rPr>
        <w:br/>
      </w:r>
      <w:r w:rsidRPr="00E60A30">
        <w:rPr>
          <w:szCs w:val="22"/>
        </w:rPr>
        <w:br/>
        <w:t xml:space="preserve">-  für Oktober 2015  1.343,75 € brutto abzüglich auf die Bundesagentur </w:t>
      </w:r>
      <w:r>
        <w:rPr>
          <w:szCs w:val="22"/>
        </w:rPr>
        <w:br/>
      </w:r>
      <w:r w:rsidRPr="00E60A30">
        <w:rPr>
          <w:szCs w:val="22"/>
        </w:rPr>
        <w:t xml:space="preserve">übergegangener 1.021,80 € netto nebst 5 Prozentpunkte Zinsen über </w:t>
      </w:r>
      <w:r>
        <w:rPr>
          <w:szCs w:val="22"/>
        </w:rPr>
        <w:br/>
      </w:r>
      <w:r w:rsidRPr="00E60A30">
        <w:rPr>
          <w:szCs w:val="22"/>
        </w:rPr>
        <w:t>dem Basiszinssatz aus 321,95 € brutto seit 01.11.2015,</w:t>
      </w:r>
      <w:r w:rsidRPr="00E60A30">
        <w:rPr>
          <w:szCs w:val="22"/>
        </w:rPr>
        <w:br/>
      </w:r>
      <w:r w:rsidRPr="00E60A30">
        <w:rPr>
          <w:szCs w:val="22"/>
        </w:rPr>
        <w:br/>
        <w:t xml:space="preserve">-  für November 2015  1.343,75 € brutto abzüglich auf die Bundesagentur </w:t>
      </w:r>
      <w:r>
        <w:rPr>
          <w:szCs w:val="22"/>
        </w:rPr>
        <w:br/>
      </w:r>
      <w:r w:rsidRPr="00E60A30">
        <w:rPr>
          <w:szCs w:val="22"/>
        </w:rPr>
        <w:t xml:space="preserve">übergegangener 272,48 € netto nebst 5 Prozentpunkte Zinsen über dem </w:t>
      </w:r>
      <w:r>
        <w:rPr>
          <w:szCs w:val="22"/>
        </w:rPr>
        <w:br/>
      </w:r>
      <w:r w:rsidRPr="00E60A30">
        <w:rPr>
          <w:szCs w:val="22"/>
        </w:rPr>
        <w:t>Basiszinssatz aus 1.071,27 € brutto seit 01.12.2015,</w:t>
      </w:r>
      <w:r w:rsidRPr="00E60A30">
        <w:rPr>
          <w:szCs w:val="22"/>
        </w:rPr>
        <w:br/>
      </w:r>
      <w:r w:rsidRPr="00E60A30">
        <w:rPr>
          <w:szCs w:val="22"/>
        </w:rPr>
        <w:br/>
        <w:t>-  für Dezember 2015  1.343,75 € brutto nebst 5 Prozentpunkte Zinsen</w:t>
      </w:r>
      <w:r>
        <w:rPr>
          <w:szCs w:val="22"/>
        </w:rPr>
        <w:br/>
      </w:r>
      <w:r w:rsidRPr="00E60A30">
        <w:rPr>
          <w:szCs w:val="22"/>
        </w:rPr>
        <w:t>über dem Basiszinssatz hieraus seit 01.01.2016,</w:t>
      </w:r>
      <w:r w:rsidRPr="00E60A30">
        <w:rPr>
          <w:szCs w:val="22"/>
        </w:rPr>
        <w:br/>
      </w:r>
      <w:r w:rsidRPr="00E60A30">
        <w:rPr>
          <w:szCs w:val="22"/>
        </w:rPr>
        <w:br/>
        <w:t>-  für Januar 2016  1.343,75 € brutto nebst 5 Prozentpunkte Zinsen über</w:t>
      </w:r>
      <w:r>
        <w:rPr>
          <w:szCs w:val="22"/>
        </w:rPr>
        <w:br/>
      </w:r>
      <w:r w:rsidRPr="00E60A30">
        <w:rPr>
          <w:szCs w:val="22"/>
        </w:rPr>
        <w:t xml:space="preserve">dem Basiszinssatz hieraus seit 01.02.2016 zu bezahlen sowie </w:t>
      </w:r>
      <w:r w:rsidRPr="00E60A30">
        <w:rPr>
          <w:szCs w:val="22"/>
        </w:rPr>
        <w:br/>
      </w:r>
      <w:r w:rsidRPr="00E60A30">
        <w:rPr>
          <w:szCs w:val="22"/>
        </w:rPr>
        <w:br/>
        <w:t xml:space="preserve">-  der Klägerin für die Monate Oktober 2015 bis einschließlich Januar 2016 </w:t>
      </w:r>
      <w:r w:rsidRPr="00E60A30">
        <w:rPr>
          <w:szCs w:val="22"/>
        </w:rPr>
        <w:lastRenderedPageBreak/>
        <w:t>Lohnabrechnungen über monatlich 1.343,75 € brutto und</w:t>
      </w:r>
      <w:r w:rsidRPr="00E60A30">
        <w:rPr>
          <w:szCs w:val="22"/>
        </w:rPr>
        <w:br/>
      </w:r>
    </w:p>
    <w:p w:rsidR="00E63707" w:rsidRPr="00E60A30" w:rsidRDefault="00E63707" w:rsidP="00E63707">
      <w:pPr>
        <w:numPr>
          <w:ilvl w:val="0"/>
          <w:numId w:val="14"/>
        </w:numPr>
        <w:rPr>
          <w:szCs w:val="22"/>
        </w:rPr>
      </w:pPr>
      <w:r w:rsidRPr="00E60A30">
        <w:rPr>
          <w:szCs w:val="22"/>
        </w:rPr>
        <w:t xml:space="preserve">Die Beklagte trägt die Kosten des </w:t>
      </w:r>
      <w:r>
        <w:rPr>
          <w:szCs w:val="22"/>
        </w:rPr>
        <w:t xml:space="preserve">gesamten </w:t>
      </w:r>
      <w:r w:rsidRPr="00E60A30">
        <w:rPr>
          <w:szCs w:val="22"/>
        </w:rPr>
        <w:t>Rechtsstreit</w:t>
      </w:r>
      <w:r>
        <w:rPr>
          <w:szCs w:val="22"/>
        </w:rPr>
        <w:t>s.</w:t>
      </w:r>
    </w:p>
    <w:p w:rsidR="00E63707" w:rsidRDefault="00E63707" w:rsidP="00E63707">
      <w:pPr>
        <w:spacing w:line="360" w:lineRule="auto"/>
        <w:rPr>
          <w:rStyle w:val="pxZchn"/>
          <w:rFonts w:cs="Times New Roman"/>
          <w:szCs w:val="22"/>
        </w:rPr>
      </w:pPr>
    </w:p>
    <w:p w:rsidR="00E63707" w:rsidRDefault="00E63707" w:rsidP="00E63707">
      <w:pPr>
        <w:spacing w:line="360" w:lineRule="auto"/>
        <w:rPr>
          <w:rStyle w:val="pxZchn"/>
          <w:rFonts w:cs="Times New Roman"/>
          <w:szCs w:val="22"/>
        </w:rPr>
      </w:pPr>
    </w:p>
    <w:p w:rsidR="00E63707" w:rsidRDefault="00E63707" w:rsidP="00E63707">
      <w:pPr>
        <w:spacing w:after="120" w:line="360" w:lineRule="auto"/>
        <w:rPr>
          <w:rStyle w:val="pxZchn"/>
          <w:rFonts w:cs="Times New Roman"/>
          <w:szCs w:val="22"/>
        </w:rPr>
      </w:pPr>
      <w:r>
        <w:rPr>
          <w:rStyle w:val="pxZchn"/>
          <w:rFonts w:cs="Times New Roman"/>
          <w:szCs w:val="22"/>
        </w:rPr>
        <w:t xml:space="preserve">Die </w:t>
      </w:r>
      <w:r w:rsidRPr="00E60A30">
        <w:rPr>
          <w:rStyle w:val="pxZchn"/>
          <w:rFonts w:cs="Times New Roman"/>
          <w:szCs w:val="22"/>
        </w:rPr>
        <w:t>Beklagte</w:t>
      </w:r>
      <w:r>
        <w:rPr>
          <w:rStyle w:val="pxZchn"/>
          <w:rFonts w:cs="Times New Roman"/>
          <w:szCs w:val="22"/>
        </w:rPr>
        <w:t xml:space="preserve"> und Berufungsbeklagte beantragt:</w:t>
      </w:r>
      <w:r w:rsidR="00D97AA6">
        <w:rPr>
          <w:rStyle w:val="pxZchn"/>
          <w:rFonts w:cs="Times New Roman"/>
          <w:szCs w:val="22"/>
        </w:rPr>
        <w:br/>
      </w:r>
    </w:p>
    <w:p w:rsidR="00E63707" w:rsidRPr="00E60A30" w:rsidRDefault="00E63707" w:rsidP="00E63707">
      <w:pPr>
        <w:numPr>
          <w:ilvl w:val="0"/>
          <w:numId w:val="15"/>
        </w:numPr>
        <w:rPr>
          <w:szCs w:val="22"/>
        </w:rPr>
      </w:pPr>
      <w:r w:rsidRPr="00E60A30">
        <w:rPr>
          <w:szCs w:val="22"/>
        </w:rPr>
        <w:t>Die Berufung wird zurückgewiesen.</w:t>
      </w:r>
      <w:r w:rsidRPr="00E60A30">
        <w:rPr>
          <w:szCs w:val="22"/>
        </w:rPr>
        <w:br/>
      </w:r>
    </w:p>
    <w:p w:rsidR="00E63707" w:rsidRPr="00E60A30" w:rsidRDefault="00E63707" w:rsidP="00E63707">
      <w:pPr>
        <w:numPr>
          <w:ilvl w:val="0"/>
          <w:numId w:val="15"/>
        </w:numPr>
        <w:rPr>
          <w:szCs w:val="22"/>
        </w:rPr>
      </w:pPr>
      <w:r w:rsidRPr="00E60A30">
        <w:rPr>
          <w:szCs w:val="22"/>
        </w:rPr>
        <w:t>Die Klägerin trägt die Kosten des Rechtsstreits.</w:t>
      </w:r>
    </w:p>
    <w:p w:rsidR="00E63707" w:rsidRDefault="00E63707" w:rsidP="00E63707">
      <w:pPr>
        <w:spacing w:line="360" w:lineRule="auto"/>
        <w:rPr>
          <w:rStyle w:val="pxZchn"/>
          <w:rFonts w:cs="Times New Roman"/>
          <w:szCs w:val="22"/>
        </w:rPr>
      </w:pPr>
    </w:p>
    <w:p w:rsidR="00F6338F" w:rsidRDefault="006B1D4A" w:rsidP="005830E5">
      <w:pPr>
        <w:spacing w:after="160" w:line="360" w:lineRule="auto"/>
        <w:rPr>
          <w:rFonts w:eastAsiaTheme="minorHAnsi" w:cs="Arial"/>
          <w:szCs w:val="22"/>
          <w:lang w:eastAsia="en-US"/>
        </w:rPr>
      </w:pPr>
      <w:r>
        <w:rPr>
          <w:rFonts w:eastAsiaTheme="minorHAnsi" w:cs="Arial"/>
          <w:szCs w:val="22"/>
          <w:lang w:eastAsia="en-US"/>
        </w:rPr>
        <w:t xml:space="preserve">Zur Begründung trägt sie vor, </w:t>
      </w:r>
      <w:r w:rsidR="00A41EEE">
        <w:rPr>
          <w:rFonts w:eastAsiaTheme="minorHAnsi" w:cs="Arial"/>
          <w:szCs w:val="22"/>
          <w:lang w:eastAsia="en-US"/>
        </w:rPr>
        <w:t xml:space="preserve">aufgrund der Regelung in Ziffer 1 des Vergleiches </w:t>
      </w:r>
      <w:r w:rsidR="005830E5">
        <w:rPr>
          <w:rFonts w:eastAsiaTheme="minorHAnsi" w:cs="Arial"/>
          <w:szCs w:val="22"/>
          <w:lang w:eastAsia="en-US"/>
        </w:rPr>
        <w:t>habe</w:t>
      </w:r>
      <w:r w:rsidR="00A41EEE">
        <w:rPr>
          <w:rFonts w:eastAsiaTheme="minorHAnsi" w:cs="Arial"/>
          <w:szCs w:val="22"/>
          <w:lang w:eastAsia="en-US"/>
        </w:rPr>
        <w:t xml:space="preserve"> für die Parteien festgestanden, dass sich die Beklagte </w:t>
      </w:r>
      <w:r w:rsidR="009E75CB">
        <w:rPr>
          <w:rFonts w:eastAsiaTheme="minorHAnsi" w:cs="Arial"/>
          <w:szCs w:val="22"/>
          <w:lang w:eastAsia="en-US"/>
        </w:rPr>
        <w:t xml:space="preserve">nach Ausspruch der fristlosen Kündigung </w:t>
      </w:r>
      <w:r w:rsidR="00A41EEE">
        <w:rPr>
          <w:rFonts w:eastAsiaTheme="minorHAnsi" w:cs="Arial"/>
          <w:szCs w:val="22"/>
          <w:lang w:eastAsia="en-US"/>
        </w:rPr>
        <w:t>in Annahmeverzug</w:t>
      </w:r>
      <w:r w:rsidR="009E75CB">
        <w:rPr>
          <w:rFonts w:eastAsiaTheme="minorHAnsi" w:cs="Arial"/>
          <w:szCs w:val="22"/>
          <w:lang w:eastAsia="en-US"/>
        </w:rPr>
        <w:t xml:space="preserve"> befunden habe und sich die ordnungsgemäße Abrechnung der Vergütung nach § 615 BGB richten solle. Einer ausdrücklichen Bezeichnung als Annahmeverzugslohn habe es nicht bedurft</w:t>
      </w:r>
      <w:r w:rsidR="005830E5">
        <w:rPr>
          <w:rFonts w:eastAsiaTheme="minorHAnsi" w:cs="Arial"/>
          <w:szCs w:val="22"/>
          <w:lang w:eastAsia="en-US"/>
        </w:rPr>
        <w:t>. Ein erforderlicher eindeutiger Ausschluss der Anwendung des § 615 Satz 2 BGB sei nicht erfolgt und ein entsprechender Wille der Vergleichsparteien auch nicht ansatzweise erkennbar.</w:t>
      </w:r>
      <w:r w:rsidR="00AA4817">
        <w:rPr>
          <w:rFonts w:eastAsiaTheme="minorHAnsi" w:cs="Arial"/>
          <w:szCs w:val="22"/>
          <w:lang w:eastAsia="en-US"/>
        </w:rPr>
        <w:t xml:space="preserve"> Die Klägerin habe im Prozess verschwiegen, dass sie ab dem 09.11.201</w:t>
      </w:r>
      <w:r w:rsidR="00072200">
        <w:rPr>
          <w:rFonts w:eastAsiaTheme="minorHAnsi" w:cs="Arial"/>
          <w:szCs w:val="22"/>
          <w:lang w:eastAsia="en-US"/>
        </w:rPr>
        <w:t>5</w:t>
      </w:r>
      <w:r w:rsidR="00AA4817">
        <w:rPr>
          <w:rFonts w:eastAsiaTheme="minorHAnsi" w:cs="Arial"/>
          <w:szCs w:val="22"/>
          <w:lang w:eastAsia="en-US"/>
        </w:rPr>
        <w:t xml:space="preserve"> wieder in einem Arbeitsverhältnis stehe. Sie habe der Klägerin mit der</w:t>
      </w:r>
      <w:r w:rsidR="00DB2B35">
        <w:rPr>
          <w:rFonts w:eastAsiaTheme="minorHAnsi" w:cs="Arial"/>
          <w:szCs w:val="22"/>
          <w:lang w:eastAsia="en-US"/>
        </w:rPr>
        <w:t xml:space="preserve"> </w:t>
      </w:r>
      <w:r w:rsidR="00AA4817">
        <w:rPr>
          <w:rFonts w:eastAsiaTheme="minorHAnsi" w:cs="Arial"/>
          <w:szCs w:val="22"/>
          <w:lang w:eastAsia="en-US"/>
        </w:rPr>
        <w:t xml:space="preserve">reduzierten Lohnzahlung entgegenkommen </w:t>
      </w:r>
      <w:r w:rsidR="00DB2B35">
        <w:rPr>
          <w:rFonts w:eastAsiaTheme="minorHAnsi" w:cs="Arial"/>
          <w:szCs w:val="22"/>
          <w:lang w:eastAsia="en-US"/>
        </w:rPr>
        <w:t>und einen sich hinziehenden Bestandsstreit vermeiden wollen.</w:t>
      </w:r>
      <w:r w:rsidR="009E75CB">
        <w:rPr>
          <w:rFonts w:eastAsiaTheme="minorHAnsi" w:cs="Arial"/>
          <w:szCs w:val="22"/>
          <w:lang w:eastAsia="en-US"/>
        </w:rPr>
        <w:t xml:space="preserve"> </w:t>
      </w:r>
    </w:p>
    <w:p w:rsidR="00E60A30" w:rsidRDefault="00DB2B35" w:rsidP="00072200">
      <w:pPr>
        <w:spacing w:after="160" w:line="360" w:lineRule="auto"/>
        <w:rPr>
          <w:rStyle w:val="pxZchn"/>
          <w:rFonts w:cs="Times New Roman"/>
          <w:szCs w:val="22"/>
        </w:rPr>
      </w:pPr>
      <w:r>
        <w:rPr>
          <w:rFonts w:eastAsiaTheme="minorHAnsi" w:cs="Arial"/>
          <w:szCs w:val="22"/>
          <w:lang w:eastAsia="en-US"/>
        </w:rPr>
        <w:t>Hinsichtlich weiterer Einzelheiten wird auf die im Berufungsverfahren gewechselten Schriftsätze der Parteien verwiesen.</w:t>
      </w:r>
    </w:p>
    <w:p w:rsidR="0093068F" w:rsidRDefault="0093068F">
      <w:pPr>
        <w:spacing w:line="360" w:lineRule="auto"/>
        <w:rPr>
          <w:rStyle w:val="pxZchn"/>
          <w:rFonts w:cs="Times New Roman"/>
          <w:szCs w:val="22"/>
        </w:rPr>
      </w:pPr>
    </w:p>
    <w:p w:rsidR="00072200" w:rsidRDefault="00072200">
      <w:pPr>
        <w:spacing w:line="360" w:lineRule="auto"/>
        <w:rPr>
          <w:rStyle w:val="pxZchn"/>
          <w:rFonts w:cs="Times New Roman"/>
          <w:szCs w:val="22"/>
        </w:rPr>
      </w:pPr>
    </w:p>
    <w:p w:rsidR="0093068F" w:rsidRDefault="00F96B2C">
      <w:pPr>
        <w:spacing w:before="480" w:after="120" w:line="360" w:lineRule="auto"/>
        <w:jc w:val="center"/>
        <w:rPr>
          <w:rStyle w:val="pxZchn"/>
          <w:rFonts w:cs="Times New Roman"/>
          <w:b/>
          <w:sz w:val="28"/>
          <w:szCs w:val="28"/>
        </w:rPr>
      </w:pPr>
      <w:r>
        <w:rPr>
          <w:rStyle w:val="pxZchn"/>
          <w:rFonts w:cs="Times New Roman"/>
          <w:b/>
          <w:sz w:val="28"/>
          <w:szCs w:val="28"/>
        </w:rPr>
        <w:t>Entscheidungsgründe:</w:t>
      </w:r>
    </w:p>
    <w:p w:rsidR="00EB069D" w:rsidRDefault="00EB069D" w:rsidP="00CC7501">
      <w:pPr>
        <w:spacing w:line="360" w:lineRule="auto"/>
        <w:rPr>
          <w:rFonts w:cs="Arial"/>
          <w:szCs w:val="22"/>
        </w:rPr>
      </w:pPr>
    </w:p>
    <w:p w:rsidR="00EB069D" w:rsidRDefault="00EB069D" w:rsidP="00EB069D">
      <w:pPr>
        <w:spacing w:line="360" w:lineRule="auto"/>
        <w:jc w:val="center"/>
        <w:rPr>
          <w:rFonts w:cs="Arial"/>
          <w:szCs w:val="22"/>
        </w:rPr>
      </w:pPr>
      <w:r>
        <w:rPr>
          <w:rFonts w:cs="Arial"/>
          <w:szCs w:val="22"/>
        </w:rPr>
        <w:t>I.</w:t>
      </w:r>
    </w:p>
    <w:p w:rsidR="00EB069D" w:rsidRDefault="00EB069D" w:rsidP="00CC7501">
      <w:pPr>
        <w:spacing w:line="360" w:lineRule="auto"/>
        <w:rPr>
          <w:rFonts w:cs="Arial"/>
          <w:szCs w:val="22"/>
        </w:rPr>
      </w:pPr>
    </w:p>
    <w:p w:rsidR="00EB069D" w:rsidRDefault="00EB069D" w:rsidP="00CC7501">
      <w:pPr>
        <w:spacing w:line="360" w:lineRule="auto"/>
        <w:rPr>
          <w:rFonts w:cs="Arial"/>
          <w:szCs w:val="22"/>
        </w:rPr>
      </w:pPr>
      <w:r w:rsidRPr="00C9241D">
        <w:rPr>
          <w:rFonts w:cs="Arial"/>
          <w:szCs w:val="22"/>
        </w:rPr>
        <w:t xml:space="preserve">Die Berufung ist zulässig. </w:t>
      </w:r>
      <w:r w:rsidRPr="00C9241D">
        <w:rPr>
          <w:rFonts w:cs="Arial"/>
          <w:szCs w:val="22"/>
        </w:rPr>
        <w:br/>
        <w:t>Sie ist statthaft, § 64 Abs. 1, Abs. 2 b ArbGG, und auch in der gesetzlichen Form und Frist eingelegt und begründet worden, §§ 66 Abs. 1, 64 Abs. 6 Satz 1 ArbGG, 519, 520 ZPO.</w:t>
      </w:r>
    </w:p>
    <w:p w:rsidR="005A72D8" w:rsidRDefault="005A72D8" w:rsidP="00CC7501">
      <w:pPr>
        <w:spacing w:line="360" w:lineRule="auto"/>
        <w:rPr>
          <w:rFonts w:cs="Arial"/>
          <w:szCs w:val="22"/>
        </w:rPr>
      </w:pPr>
    </w:p>
    <w:p w:rsidR="00EB069D" w:rsidRDefault="00EB069D" w:rsidP="00EB069D">
      <w:pPr>
        <w:spacing w:line="360" w:lineRule="auto"/>
        <w:jc w:val="center"/>
        <w:rPr>
          <w:rFonts w:cs="Arial"/>
          <w:szCs w:val="22"/>
        </w:rPr>
      </w:pPr>
      <w:r>
        <w:rPr>
          <w:rFonts w:cs="Arial"/>
          <w:szCs w:val="22"/>
        </w:rPr>
        <w:t>II.</w:t>
      </w:r>
    </w:p>
    <w:p w:rsidR="00EB069D" w:rsidRDefault="00EB069D" w:rsidP="00CC7501">
      <w:pPr>
        <w:spacing w:line="360" w:lineRule="auto"/>
        <w:rPr>
          <w:rFonts w:cs="Arial"/>
          <w:szCs w:val="22"/>
        </w:rPr>
      </w:pPr>
    </w:p>
    <w:p w:rsidR="0093068F" w:rsidRDefault="00F6338F">
      <w:pPr>
        <w:spacing w:line="360" w:lineRule="auto"/>
        <w:rPr>
          <w:rStyle w:val="pxZchn"/>
          <w:rFonts w:cs="Times New Roman"/>
          <w:szCs w:val="22"/>
        </w:rPr>
      </w:pPr>
      <w:r>
        <w:rPr>
          <w:rStyle w:val="pxZchn"/>
          <w:rFonts w:cs="Times New Roman"/>
          <w:szCs w:val="22"/>
        </w:rPr>
        <w:t>Die Berufung ist sachlich begründet.</w:t>
      </w:r>
    </w:p>
    <w:p w:rsidR="00F6338F" w:rsidRDefault="00F6338F">
      <w:pPr>
        <w:spacing w:line="360" w:lineRule="auto"/>
        <w:rPr>
          <w:rStyle w:val="pxZchn"/>
          <w:rFonts w:cs="Times New Roman"/>
          <w:szCs w:val="22"/>
        </w:rPr>
      </w:pPr>
      <w:r>
        <w:rPr>
          <w:rStyle w:val="pxZchn"/>
          <w:rFonts w:cs="Times New Roman"/>
          <w:szCs w:val="22"/>
        </w:rPr>
        <w:t>Der Klägerin stehen die geltend gemachten Abrechnungs- und Zahlungsansprüche gegen die Beklagte zu, denn hierzu hatte sich die Beklagte in Ziffer 2 des Vergleiches vom 15.03.2016 verpflichtet</w:t>
      </w:r>
      <w:r w:rsidR="00B04696">
        <w:rPr>
          <w:rStyle w:val="pxZchn"/>
          <w:rFonts w:cs="Times New Roman"/>
          <w:szCs w:val="22"/>
        </w:rPr>
        <w:t>, §</w:t>
      </w:r>
      <w:r w:rsidR="003F1A6E">
        <w:rPr>
          <w:rStyle w:val="pxZchn"/>
          <w:rFonts w:cs="Times New Roman"/>
          <w:szCs w:val="22"/>
        </w:rPr>
        <w:t>§ 779 Abs. 1, 611 Abs.1 BGB</w:t>
      </w:r>
      <w:r>
        <w:rPr>
          <w:rStyle w:val="pxZchn"/>
          <w:rFonts w:cs="Times New Roman"/>
          <w:szCs w:val="22"/>
        </w:rPr>
        <w:t>.</w:t>
      </w:r>
    </w:p>
    <w:p w:rsidR="00E92F0C" w:rsidRDefault="0005692F">
      <w:pPr>
        <w:spacing w:line="360" w:lineRule="auto"/>
        <w:rPr>
          <w:rStyle w:val="pxZchn"/>
          <w:rFonts w:cs="Times New Roman"/>
          <w:szCs w:val="22"/>
        </w:rPr>
      </w:pPr>
      <w:r>
        <w:rPr>
          <w:rStyle w:val="pxZchn"/>
          <w:rFonts w:cs="Times New Roman"/>
          <w:szCs w:val="22"/>
        </w:rPr>
        <w:t>Die Auslegung der Ziffer 2 des Vergleiches ergibt gem. §§ 133, 154 BGB unter Berücksichtigung der Regelungen in den Ziffern 3 und 6 d</w:t>
      </w:r>
      <w:r w:rsidR="003F1A6E">
        <w:rPr>
          <w:rStyle w:val="pxZchn"/>
          <w:rFonts w:cs="Times New Roman"/>
          <w:szCs w:val="22"/>
        </w:rPr>
        <w:t>i</w:t>
      </w:r>
      <w:r>
        <w:rPr>
          <w:rStyle w:val="pxZchn"/>
          <w:rFonts w:cs="Times New Roman"/>
          <w:szCs w:val="22"/>
        </w:rPr>
        <w:t>e</w:t>
      </w:r>
      <w:r w:rsidR="003F1A6E">
        <w:rPr>
          <w:rStyle w:val="pxZchn"/>
          <w:rFonts w:cs="Times New Roman"/>
          <w:szCs w:val="22"/>
        </w:rPr>
        <w:t>se</w:t>
      </w:r>
      <w:r>
        <w:rPr>
          <w:rStyle w:val="pxZchn"/>
          <w:rFonts w:cs="Times New Roman"/>
          <w:szCs w:val="22"/>
        </w:rPr>
        <w:t xml:space="preserve">s Vergleiches, dass </w:t>
      </w:r>
      <w:r w:rsidR="003F1A6E">
        <w:rPr>
          <w:rStyle w:val="pxZchn"/>
          <w:rFonts w:cs="Times New Roman"/>
          <w:szCs w:val="22"/>
        </w:rPr>
        <w:t xml:space="preserve">im Rahmen des § 779 Abs. 1 BGB </w:t>
      </w:r>
      <w:r>
        <w:rPr>
          <w:rStyle w:val="pxZchn"/>
          <w:rFonts w:cs="Times New Roman"/>
          <w:szCs w:val="22"/>
        </w:rPr>
        <w:t>ein</w:t>
      </w:r>
      <w:r w:rsidR="003F1A6E">
        <w:rPr>
          <w:rStyle w:val="pxZchn"/>
          <w:rFonts w:cs="Times New Roman"/>
          <w:szCs w:val="22"/>
        </w:rPr>
        <w:t>e</w:t>
      </w:r>
      <w:r>
        <w:rPr>
          <w:rStyle w:val="pxZchn"/>
          <w:rFonts w:cs="Times New Roman"/>
          <w:szCs w:val="22"/>
        </w:rPr>
        <w:t xml:space="preserve"> eigenständige konstitutive Abrechnungs- und Zahlungspflicht begründet werden und nicht lediglich ein Verweis auf die </w:t>
      </w:r>
      <w:r w:rsidR="00072200">
        <w:rPr>
          <w:rStyle w:val="pxZchn"/>
          <w:rFonts w:cs="Times New Roman"/>
          <w:szCs w:val="22"/>
        </w:rPr>
        <w:t xml:space="preserve">bestehende </w:t>
      </w:r>
      <w:r w:rsidR="00236980">
        <w:rPr>
          <w:rStyle w:val="pxZchn"/>
          <w:rFonts w:cs="Times New Roman"/>
          <w:szCs w:val="22"/>
        </w:rPr>
        <w:t xml:space="preserve">gesetzliche </w:t>
      </w:r>
      <w:r>
        <w:rPr>
          <w:rStyle w:val="pxZchn"/>
          <w:rFonts w:cs="Times New Roman"/>
          <w:szCs w:val="22"/>
        </w:rPr>
        <w:t>Rechtslage nach § 615 BGB</w:t>
      </w:r>
      <w:r w:rsidR="00B81300">
        <w:rPr>
          <w:rStyle w:val="pxZchn"/>
          <w:rFonts w:cs="Times New Roman"/>
          <w:szCs w:val="22"/>
        </w:rPr>
        <w:t xml:space="preserve"> </w:t>
      </w:r>
      <w:r w:rsidR="00072200">
        <w:rPr>
          <w:rStyle w:val="pxZchn"/>
          <w:rFonts w:cs="Times New Roman"/>
          <w:szCs w:val="22"/>
        </w:rPr>
        <w:t>erfolgen sollte</w:t>
      </w:r>
      <w:r>
        <w:rPr>
          <w:rStyle w:val="pxZchn"/>
          <w:rFonts w:cs="Times New Roman"/>
          <w:szCs w:val="22"/>
        </w:rPr>
        <w:t>.</w:t>
      </w:r>
      <w:r w:rsidR="00236980">
        <w:rPr>
          <w:rStyle w:val="pxZchn"/>
          <w:rFonts w:cs="Times New Roman"/>
          <w:szCs w:val="22"/>
        </w:rPr>
        <w:br/>
      </w:r>
    </w:p>
    <w:p w:rsidR="0005692F" w:rsidRDefault="0005692F">
      <w:pPr>
        <w:spacing w:line="360" w:lineRule="auto"/>
        <w:rPr>
          <w:rStyle w:val="pxZchn"/>
          <w:rFonts w:cs="Times New Roman"/>
          <w:szCs w:val="22"/>
        </w:rPr>
      </w:pPr>
      <w:r>
        <w:rPr>
          <w:rStyle w:val="pxZchn"/>
          <w:rFonts w:cs="Times New Roman"/>
          <w:szCs w:val="22"/>
        </w:rPr>
        <w:t xml:space="preserve">Die Auslegung des Erstgerichts, die sich vollumfänglich an den Gründen der Entscheidung des Landesarbeitsgerichts Düsseldorf </w:t>
      </w:r>
      <w:r w:rsidR="00236980">
        <w:rPr>
          <w:rStyle w:val="pxZchn"/>
          <w:rFonts w:cs="Times New Roman"/>
          <w:szCs w:val="22"/>
        </w:rPr>
        <w:t>vom 01.07.2015 (1 Sa 194/15 – LAGE Nr. 26 zu § 615 BGB 2002)</w:t>
      </w:r>
      <w:r w:rsidR="005B0263">
        <w:rPr>
          <w:rStyle w:val="pxZchn"/>
          <w:rFonts w:cs="Times New Roman"/>
          <w:szCs w:val="22"/>
        </w:rPr>
        <w:t xml:space="preserve"> orientiert, lässt unberücksichtigt, dass </w:t>
      </w:r>
      <w:r w:rsidR="00B81300">
        <w:rPr>
          <w:rStyle w:val="pxZchn"/>
          <w:rFonts w:cs="Times New Roman"/>
          <w:szCs w:val="22"/>
        </w:rPr>
        <w:t xml:space="preserve">sich </w:t>
      </w:r>
      <w:r w:rsidR="005B0263">
        <w:rPr>
          <w:rStyle w:val="pxZchn"/>
          <w:rFonts w:cs="Times New Roman"/>
          <w:szCs w:val="22"/>
        </w:rPr>
        <w:t xml:space="preserve">die Parteien in dem vorliegenden Fall ausdrücklich auf die Abrechnung und Zahlung eines </w:t>
      </w:r>
      <w:r w:rsidR="00B81300">
        <w:rPr>
          <w:rStyle w:val="pxZchn"/>
          <w:rFonts w:cs="Times New Roman"/>
          <w:szCs w:val="22"/>
        </w:rPr>
        <w:t xml:space="preserve">bestimmten monatlichen </w:t>
      </w:r>
      <w:r w:rsidR="005B0263">
        <w:rPr>
          <w:rStyle w:val="pxZchn"/>
          <w:rFonts w:cs="Times New Roman"/>
          <w:szCs w:val="22"/>
        </w:rPr>
        <w:t>Brutto</w:t>
      </w:r>
      <w:r w:rsidR="00B81300">
        <w:rPr>
          <w:rStyle w:val="pxZchn"/>
          <w:rFonts w:cs="Times New Roman"/>
          <w:szCs w:val="22"/>
        </w:rPr>
        <w:t>betrages</w:t>
      </w:r>
      <w:r w:rsidR="005B0263">
        <w:rPr>
          <w:rStyle w:val="pxZchn"/>
          <w:rFonts w:cs="Times New Roman"/>
          <w:szCs w:val="22"/>
        </w:rPr>
        <w:t xml:space="preserve"> geeinigt haben, d</w:t>
      </w:r>
      <w:r w:rsidR="00B81300">
        <w:rPr>
          <w:rStyle w:val="pxZchn"/>
          <w:rFonts w:cs="Times New Roman"/>
          <w:szCs w:val="22"/>
        </w:rPr>
        <w:t>er</w:t>
      </w:r>
      <w:r w:rsidR="005B0263">
        <w:rPr>
          <w:rStyle w:val="pxZchn"/>
          <w:rFonts w:cs="Times New Roman"/>
          <w:szCs w:val="22"/>
        </w:rPr>
        <w:t xml:space="preserve"> von dem gesetzlichen </w:t>
      </w:r>
      <w:r w:rsidR="00A00DD4">
        <w:rPr>
          <w:rStyle w:val="pxZchn"/>
          <w:rFonts w:cs="Times New Roman"/>
          <w:szCs w:val="22"/>
        </w:rPr>
        <w:t xml:space="preserve">Anspruch auf </w:t>
      </w:r>
      <w:r w:rsidR="005B0263">
        <w:rPr>
          <w:rStyle w:val="pxZchn"/>
          <w:rFonts w:cs="Times New Roman"/>
          <w:szCs w:val="22"/>
        </w:rPr>
        <w:t xml:space="preserve">Annahmeverzugslohn erheblich abweicht und sich auf nur 50% </w:t>
      </w:r>
      <w:r w:rsidR="00A75585">
        <w:rPr>
          <w:rStyle w:val="pxZchn"/>
          <w:rFonts w:cs="Times New Roman"/>
          <w:szCs w:val="22"/>
        </w:rPr>
        <w:t xml:space="preserve">des gesetzlichen Anspruchs beläuft. </w:t>
      </w:r>
      <w:r w:rsidR="00A00DD4">
        <w:rPr>
          <w:rStyle w:val="pxZchn"/>
          <w:rFonts w:cs="Times New Roman"/>
          <w:szCs w:val="22"/>
        </w:rPr>
        <w:br/>
      </w:r>
      <w:r w:rsidR="00A75585">
        <w:rPr>
          <w:rStyle w:val="pxZchn"/>
          <w:rFonts w:cs="Times New Roman"/>
          <w:szCs w:val="22"/>
        </w:rPr>
        <w:t>Dies unterscheidet den Fall von dem vom Landesarbeitsgericht Düsseldorf entschiedenen, denn dort sollte die Abrechnung „auf der Basis des Monatsgehalts zum Zeitpunkt der Schließung zuzüglic</w:t>
      </w:r>
      <w:r w:rsidR="005A72D8">
        <w:rPr>
          <w:rStyle w:val="pxZchn"/>
          <w:rFonts w:cs="Times New Roman"/>
          <w:szCs w:val="22"/>
        </w:rPr>
        <w:t>h vertraglicher Sonderzahlungen“</w:t>
      </w:r>
      <w:r w:rsidR="00A75585">
        <w:rPr>
          <w:rStyle w:val="pxZchn"/>
          <w:rFonts w:cs="Times New Roman"/>
          <w:szCs w:val="22"/>
        </w:rPr>
        <w:t xml:space="preserve"> erfolgen. </w:t>
      </w:r>
      <w:r w:rsidR="00A00DD4">
        <w:rPr>
          <w:rStyle w:val="pxZchn"/>
          <w:rFonts w:cs="Times New Roman"/>
          <w:szCs w:val="22"/>
        </w:rPr>
        <w:t xml:space="preserve">In dem </w:t>
      </w:r>
      <w:r w:rsidR="0078529D">
        <w:rPr>
          <w:rStyle w:val="pxZchn"/>
          <w:rFonts w:cs="Times New Roman"/>
          <w:szCs w:val="22"/>
        </w:rPr>
        <w:t xml:space="preserve">dortigen </w:t>
      </w:r>
      <w:r w:rsidR="00A00DD4">
        <w:rPr>
          <w:rStyle w:val="pxZchn"/>
          <w:rFonts w:cs="Times New Roman"/>
          <w:szCs w:val="22"/>
        </w:rPr>
        <w:t>Fall l</w:t>
      </w:r>
      <w:r w:rsidR="0078529D">
        <w:rPr>
          <w:rStyle w:val="pxZchn"/>
          <w:rFonts w:cs="Times New Roman"/>
          <w:szCs w:val="22"/>
        </w:rPr>
        <w:t>a</w:t>
      </w:r>
      <w:r w:rsidR="00A00DD4">
        <w:rPr>
          <w:rStyle w:val="pxZchn"/>
          <w:rFonts w:cs="Times New Roman"/>
          <w:szCs w:val="22"/>
        </w:rPr>
        <w:t xml:space="preserve">g es nahe, dass </w:t>
      </w:r>
      <w:r w:rsidR="0078529D">
        <w:rPr>
          <w:rStyle w:val="pxZchn"/>
          <w:rFonts w:cs="Times New Roman"/>
          <w:szCs w:val="22"/>
        </w:rPr>
        <w:t xml:space="preserve">Inhalt des Vergleiches </w:t>
      </w:r>
      <w:r w:rsidR="00A00DD4">
        <w:rPr>
          <w:rStyle w:val="pxZchn"/>
          <w:rFonts w:cs="Times New Roman"/>
          <w:szCs w:val="22"/>
        </w:rPr>
        <w:t xml:space="preserve">die Abrechnung des gesamten Annahmeverzugslohnes geworden </w:t>
      </w:r>
      <w:r w:rsidR="002D076D">
        <w:rPr>
          <w:rStyle w:val="pxZchn"/>
          <w:rFonts w:cs="Times New Roman"/>
          <w:szCs w:val="22"/>
        </w:rPr>
        <w:t xml:space="preserve">ist </w:t>
      </w:r>
      <w:r w:rsidR="00A00DD4">
        <w:rPr>
          <w:rStyle w:val="pxZchn"/>
          <w:rFonts w:cs="Times New Roman"/>
          <w:szCs w:val="22"/>
        </w:rPr>
        <w:t xml:space="preserve">und damit auch die Anwendbarkeit des § 615 Satz 2 BGB </w:t>
      </w:r>
      <w:r w:rsidR="002D076D">
        <w:rPr>
          <w:rStyle w:val="pxZchn"/>
          <w:rFonts w:cs="Times New Roman"/>
          <w:szCs w:val="22"/>
        </w:rPr>
        <w:t>eröffnet werden sollte.</w:t>
      </w:r>
      <w:r w:rsidR="002D076D">
        <w:rPr>
          <w:rStyle w:val="pxZchn"/>
          <w:rFonts w:cs="Times New Roman"/>
          <w:szCs w:val="22"/>
        </w:rPr>
        <w:br/>
        <w:t xml:space="preserve">Anders ist die </w:t>
      </w:r>
      <w:r w:rsidR="0078529D">
        <w:rPr>
          <w:rStyle w:val="pxZchn"/>
          <w:rFonts w:cs="Times New Roman"/>
          <w:szCs w:val="22"/>
        </w:rPr>
        <w:t xml:space="preserve">konkrete </w:t>
      </w:r>
      <w:r w:rsidR="002D076D">
        <w:rPr>
          <w:rStyle w:val="pxZchn"/>
          <w:rFonts w:cs="Times New Roman"/>
          <w:szCs w:val="22"/>
        </w:rPr>
        <w:t xml:space="preserve">Festschreibung des Vergleichsbetrages von EUR 1.343,75 brutto zu verstehen, denn hierbei handelt es sich gerade nicht um den gesetzlich geschuldeten Annahmeverzugslohn </w:t>
      </w:r>
      <w:r w:rsidR="0078529D">
        <w:rPr>
          <w:rStyle w:val="pxZchn"/>
          <w:rFonts w:cs="Times New Roman"/>
          <w:szCs w:val="22"/>
        </w:rPr>
        <w:t xml:space="preserve">für </w:t>
      </w:r>
      <w:r w:rsidR="002D076D">
        <w:rPr>
          <w:rStyle w:val="pxZchn"/>
          <w:rFonts w:cs="Times New Roman"/>
          <w:szCs w:val="22"/>
        </w:rPr>
        <w:t>de</w:t>
      </w:r>
      <w:r w:rsidR="0078529D">
        <w:rPr>
          <w:rStyle w:val="pxZchn"/>
          <w:rFonts w:cs="Times New Roman"/>
          <w:szCs w:val="22"/>
        </w:rPr>
        <w:t>n</w:t>
      </w:r>
      <w:r w:rsidR="002D076D">
        <w:rPr>
          <w:rStyle w:val="pxZchn"/>
          <w:rFonts w:cs="Times New Roman"/>
          <w:szCs w:val="22"/>
        </w:rPr>
        <w:t xml:space="preserve"> Zeitraum 01.10.2015 bis 31.01.2016</w:t>
      </w:r>
      <w:r w:rsidR="00C67ED8">
        <w:rPr>
          <w:rStyle w:val="pxZchn"/>
          <w:rFonts w:cs="Times New Roman"/>
          <w:szCs w:val="22"/>
        </w:rPr>
        <w:t xml:space="preserve"> sondern einen hiervon erheblich abweichenden Zahlungsbetrag. </w:t>
      </w:r>
      <w:r w:rsidR="0014464C">
        <w:rPr>
          <w:rStyle w:val="pxZchn"/>
          <w:rFonts w:cs="Times New Roman"/>
          <w:szCs w:val="22"/>
        </w:rPr>
        <w:t xml:space="preserve">Schon dies begründet Zweifel daran, dass es sich hierbei </w:t>
      </w:r>
      <w:r w:rsidR="00C41E75">
        <w:rPr>
          <w:rStyle w:val="pxZchn"/>
          <w:rFonts w:cs="Times New Roman"/>
          <w:szCs w:val="22"/>
        </w:rPr>
        <w:t xml:space="preserve">lediglich um einen Verweis auf den </w:t>
      </w:r>
      <w:r w:rsidR="0014464C">
        <w:rPr>
          <w:rStyle w:val="pxZchn"/>
          <w:rFonts w:cs="Times New Roman"/>
          <w:szCs w:val="22"/>
        </w:rPr>
        <w:t>gesetzlichen Anspruch nach § 615 BGB handeln soll</w:t>
      </w:r>
      <w:r w:rsidR="00C41E75">
        <w:rPr>
          <w:rStyle w:val="pxZchn"/>
          <w:rFonts w:cs="Times New Roman"/>
          <w:szCs w:val="22"/>
        </w:rPr>
        <w:t>te</w:t>
      </w:r>
      <w:r w:rsidR="0014464C">
        <w:rPr>
          <w:rStyle w:val="pxZchn"/>
          <w:rFonts w:cs="Times New Roman"/>
          <w:szCs w:val="22"/>
        </w:rPr>
        <w:t xml:space="preserve">. </w:t>
      </w:r>
      <w:r w:rsidR="00217367">
        <w:rPr>
          <w:rStyle w:val="pxZchn"/>
          <w:rFonts w:cs="Times New Roman"/>
          <w:szCs w:val="22"/>
        </w:rPr>
        <w:br/>
      </w:r>
      <w:r w:rsidR="0014464C">
        <w:rPr>
          <w:rStyle w:val="pxZchn"/>
          <w:rFonts w:cs="Times New Roman"/>
          <w:szCs w:val="22"/>
        </w:rPr>
        <w:br/>
      </w:r>
      <w:r w:rsidR="00C67ED8">
        <w:rPr>
          <w:rStyle w:val="pxZchn"/>
          <w:rFonts w:cs="Times New Roman"/>
          <w:szCs w:val="22"/>
        </w:rPr>
        <w:t xml:space="preserve">Aufgrund der vollständigen Einbringung des Urlaubs nach Ziffer 3 des Vergleiches und </w:t>
      </w:r>
      <w:r w:rsidR="00C67ED8">
        <w:rPr>
          <w:rStyle w:val="pxZchn"/>
          <w:rFonts w:cs="Times New Roman"/>
          <w:szCs w:val="22"/>
        </w:rPr>
        <w:lastRenderedPageBreak/>
        <w:t xml:space="preserve">der gesamten Abgeltung aller sonstiger Ansprüche aus dem Arbeitsverhältnis gem. </w:t>
      </w:r>
      <w:r w:rsidR="005A72D8">
        <w:rPr>
          <w:rStyle w:val="pxZchn"/>
          <w:rFonts w:cs="Times New Roman"/>
          <w:szCs w:val="22"/>
        </w:rPr>
        <w:br/>
      </w:r>
      <w:r w:rsidR="00C67ED8">
        <w:rPr>
          <w:rStyle w:val="pxZchn"/>
          <w:rFonts w:cs="Times New Roman"/>
          <w:szCs w:val="22"/>
        </w:rPr>
        <w:t xml:space="preserve">Ziffer 6 des Vergleiches steht </w:t>
      </w:r>
      <w:r w:rsidR="00217367">
        <w:rPr>
          <w:rStyle w:val="pxZchn"/>
          <w:rFonts w:cs="Times New Roman"/>
          <w:szCs w:val="22"/>
        </w:rPr>
        <w:t xml:space="preserve">zudem </w:t>
      </w:r>
      <w:r w:rsidR="00C67ED8">
        <w:rPr>
          <w:rStyle w:val="pxZchn"/>
          <w:rFonts w:cs="Times New Roman"/>
          <w:szCs w:val="22"/>
        </w:rPr>
        <w:t xml:space="preserve">fest, dass die in Ziffer 2 des Vergleiches geregelte </w:t>
      </w:r>
      <w:r w:rsidR="0014464C">
        <w:rPr>
          <w:rStyle w:val="pxZchn"/>
          <w:rFonts w:cs="Times New Roman"/>
          <w:szCs w:val="22"/>
        </w:rPr>
        <w:t>Z</w:t>
      </w:r>
      <w:r w:rsidR="00C67ED8">
        <w:rPr>
          <w:rStyle w:val="pxZchn"/>
          <w:rFonts w:cs="Times New Roman"/>
          <w:szCs w:val="22"/>
        </w:rPr>
        <w:t xml:space="preserve">ahlungspflicht der Beklagten auch die Urlaubsvergütung gem. § 11 BUrlG </w:t>
      </w:r>
      <w:r w:rsidR="0014464C">
        <w:rPr>
          <w:rStyle w:val="pxZchn"/>
          <w:rFonts w:cs="Times New Roman"/>
          <w:szCs w:val="22"/>
        </w:rPr>
        <w:t xml:space="preserve">und die Feiertagslohnzahlung gem. § 2 EFZG </w:t>
      </w:r>
      <w:r w:rsidR="00F2162E">
        <w:rPr>
          <w:rStyle w:val="pxZchn"/>
          <w:rFonts w:cs="Times New Roman"/>
          <w:szCs w:val="22"/>
        </w:rPr>
        <w:t>ein</w:t>
      </w:r>
      <w:r w:rsidR="0014464C">
        <w:rPr>
          <w:rStyle w:val="pxZchn"/>
          <w:rFonts w:cs="Times New Roman"/>
          <w:szCs w:val="22"/>
        </w:rPr>
        <w:t>bezieht</w:t>
      </w:r>
      <w:r w:rsidR="00F2162E">
        <w:rPr>
          <w:rStyle w:val="pxZchn"/>
          <w:rFonts w:cs="Times New Roman"/>
          <w:szCs w:val="22"/>
        </w:rPr>
        <w:t xml:space="preserve">. Dies </w:t>
      </w:r>
      <w:r w:rsidR="0036364A">
        <w:rPr>
          <w:rStyle w:val="pxZchn"/>
          <w:rFonts w:cs="Times New Roman"/>
          <w:szCs w:val="22"/>
        </w:rPr>
        <w:t>h</w:t>
      </w:r>
      <w:r w:rsidR="00217367">
        <w:rPr>
          <w:rStyle w:val="pxZchn"/>
          <w:rFonts w:cs="Times New Roman"/>
          <w:szCs w:val="22"/>
        </w:rPr>
        <w:t>ä</w:t>
      </w:r>
      <w:r w:rsidR="0036364A">
        <w:rPr>
          <w:rStyle w:val="pxZchn"/>
          <w:rFonts w:cs="Times New Roman"/>
          <w:szCs w:val="22"/>
        </w:rPr>
        <w:t xml:space="preserve">tte </w:t>
      </w:r>
      <w:r w:rsidR="00C41E75">
        <w:rPr>
          <w:rStyle w:val="pxZchn"/>
          <w:rFonts w:cs="Times New Roman"/>
          <w:szCs w:val="22"/>
        </w:rPr>
        <w:t xml:space="preserve">jedoch </w:t>
      </w:r>
      <w:r w:rsidR="00F2162E">
        <w:rPr>
          <w:rStyle w:val="pxZchn"/>
          <w:rFonts w:cs="Times New Roman"/>
          <w:szCs w:val="22"/>
        </w:rPr>
        <w:t xml:space="preserve">auf Basis des letzten Bruttomonatseinkommens der Klägerin von EUR 2.687,50 brutto </w:t>
      </w:r>
      <w:r w:rsidR="00217367">
        <w:rPr>
          <w:rStyle w:val="pxZchn"/>
          <w:rFonts w:cs="Times New Roman"/>
          <w:szCs w:val="22"/>
        </w:rPr>
        <w:t>e</w:t>
      </w:r>
      <w:r w:rsidR="00F2162E">
        <w:rPr>
          <w:rStyle w:val="pxZchn"/>
          <w:rFonts w:cs="Times New Roman"/>
          <w:szCs w:val="22"/>
        </w:rPr>
        <w:t>rfolgen</w:t>
      </w:r>
      <w:r w:rsidR="00217367">
        <w:rPr>
          <w:rStyle w:val="pxZchn"/>
          <w:rFonts w:cs="Times New Roman"/>
          <w:szCs w:val="22"/>
        </w:rPr>
        <w:t xml:space="preserve"> müssen</w:t>
      </w:r>
      <w:r w:rsidR="00F72507">
        <w:rPr>
          <w:rStyle w:val="pxZchn"/>
          <w:rFonts w:cs="Times New Roman"/>
          <w:szCs w:val="22"/>
        </w:rPr>
        <w:t xml:space="preserve">, was aufgrund der Regelungen zur Unabdingbarkeit in </w:t>
      </w:r>
      <w:r w:rsidR="00217367">
        <w:rPr>
          <w:rStyle w:val="pxZchn"/>
          <w:rFonts w:cs="Times New Roman"/>
          <w:szCs w:val="22"/>
        </w:rPr>
        <w:t xml:space="preserve">den </w:t>
      </w:r>
      <w:r w:rsidR="00F72507">
        <w:rPr>
          <w:rStyle w:val="pxZchn"/>
          <w:rFonts w:cs="Times New Roman"/>
          <w:szCs w:val="22"/>
        </w:rPr>
        <w:t xml:space="preserve">§§ </w:t>
      </w:r>
      <w:r w:rsidR="00217367">
        <w:rPr>
          <w:rStyle w:val="pxZchn"/>
          <w:rFonts w:cs="Times New Roman"/>
          <w:szCs w:val="22"/>
        </w:rPr>
        <w:t xml:space="preserve">13 Abs. 1 BurlG, </w:t>
      </w:r>
      <w:r w:rsidR="00F72507">
        <w:rPr>
          <w:rStyle w:val="pxZchn"/>
          <w:rFonts w:cs="Times New Roman"/>
          <w:szCs w:val="22"/>
        </w:rPr>
        <w:t>12 EFZG auch den am Vergleichsschluss beteiligten Rechtsanwälten klar sein musste</w:t>
      </w:r>
      <w:r w:rsidR="0036364A">
        <w:rPr>
          <w:rStyle w:val="pxZchn"/>
          <w:rFonts w:cs="Times New Roman"/>
          <w:szCs w:val="22"/>
        </w:rPr>
        <w:t xml:space="preserve">. Nach Abzug der für einzelne Tage geschuldeten vollen </w:t>
      </w:r>
      <w:r w:rsidR="00E22CF9">
        <w:rPr>
          <w:rStyle w:val="pxZchn"/>
          <w:rFonts w:cs="Times New Roman"/>
          <w:szCs w:val="22"/>
        </w:rPr>
        <w:t xml:space="preserve">Bruttovergütung erschließt sich aus dem Inhalt der Ziffer 2 des Vergleiches nicht, welche </w:t>
      </w:r>
      <w:r w:rsidR="00E22CF9" w:rsidRPr="00E22CF9">
        <w:rPr>
          <w:rStyle w:val="pxZchn"/>
          <w:rFonts w:cs="Times New Roman"/>
          <w:b/>
          <w:szCs w:val="22"/>
        </w:rPr>
        <w:t>ordnungsgemäße</w:t>
      </w:r>
      <w:r w:rsidR="00E22CF9">
        <w:rPr>
          <w:rStyle w:val="pxZchn"/>
          <w:rFonts w:cs="Times New Roman"/>
          <w:szCs w:val="22"/>
        </w:rPr>
        <w:t xml:space="preserve"> Abrechnung lediglich des hälftigen bisherigen Bruttomonatseinkommen</w:t>
      </w:r>
      <w:r w:rsidR="00BD63C9">
        <w:rPr>
          <w:rStyle w:val="pxZchn"/>
          <w:rFonts w:cs="Times New Roman"/>
          <w:szCs w:val="22"/>
        </w:rPr>
        <w:t>s</w:t>
      </w:r>
      <w:r w:rsidR="00E22CF9">
        <w:rPr>
          <w:rStyle w:val="pxZchn"/>
          <w:rFonts w:cs="Times New Roman"/>
          <w:szCs w:val="22"/>
        </w:rPr>
        <w:t xml:space="preserve"> sich in welchem konkreten Zeitraum auf den gesetzlichen Anspruch </w:t>
      </w:r>
      <w:r w:rsidR="00BD63C9">
        <w:rPr>
          <w:rStyle w:val="pxZchn"/>
          <w:rFonts w:cs="Times New Roman"/>
          <w:szCs w:val="22"/>
        </w:rPr>
        <w:t xml:space="preserve">der Klägerin </w:t>
      </w:r>
      <w:r w:rsidR="002462E4">
        <w:rPr>
          <w:rStyle w:val="pxZchn"/>
          <w:rFonts w:cs="Times New Roman"/>
          <w:szCs w:val="22"/>
        </w:rPr>
        <w:t xml:space="preserve">auf Annahmeverzugslohn </w:t>
      </w:r>
      <w:r w:rsidR="008D2647">
        <w:rPr>
          <w:rStyle w:val="pxZchn"/>
          <w:rFonts w:cs="Times New Roman"/>
          <w:szCs w:val="22"/>
        </w:rPr>
        <w:t xml:space="preserve">gem. § 615 BGB </w:t>
      </w:r>
      <w:r w:rsidR="002462E4">
        <w:rPr>
          <w:rStyle w:val="pxZchn"/>
          <w:rFonts w:cs="Times New Roman"/>
          <w:szCs w:val="22"/>
        </w:rPr>
        <w:t>beziehen soll</w:t>
      </w:r>
      <w:r w:rsidR="008D2647">
        <w:rPr>
          <w:rStyle w:val="pxZchn"/>
          <w:rFonts w:cs="Times New Roman"/>
          <w:szCs w:val="22"/>
        </w:rPr>
        <w:t>te</w:t>
      </w:r>
      <w:r w:rsidR="002462E4">
        <w:rPr>
          <w:rStyle w:val="pxZchn"/>
          <w:rFonts w:cs="Times New Roman"/>
          <w:szCs w:val="22"/>
        </w:rPr>
        <w:t xml:space="preserve">. </w:t>
      </w:r>
      <w:r w:rsidR="008D2647">
        <w:rPr>
          <w:rStyle w:val="pxZchn"/>
          <w:rFonts w:cs="Times New Roman"/>
          <w:szCs w:val="22"/>
        </w:rPr>
        <w:br/>
        <w:t xml:space="preserve">Insoweit ist bei der gegebenen Vergleichssituation </w:t>
      </w:r>
      <w:r w:rsidR="00D23CA4">
        <w:rPr>
          <w:rStyle w:val="pxZchn"/>
          <w:rFonts w:cs="Times New Roman"/>
          <w:szCs w:val="22"/>
        </w:rPr>
        <w:t>-</w:t>
      </w:r>
      <w:r w:rsidR="008D2647">
        <w:rPr>
          <w:rStyle w:val="pxZchn"/>
          <w:rFonts w:cs="Times New Roman"/>
          <w:szCs w:val="22"/>
        </w:rPr>
        <w:t xml:space="preserve"> </w:t>
      </w:r>
      <w:r w:rsidR="00D23CA4">
        <w:rPr>
          <w:rStyle w:val="pxZchn"/>
          <w:rFonts w:cs="Times New Roman"/>
          <w:szCs w:val="22"/>
        </w:rPr>
        <w:t xml:space="preserve">Beendigung des Vertragsverhältnisses zu einem vorfristigen Entlassungstermin bei gleichzeitiger Reduzierung der geschuldeten Gesamtvergütung auf 50% des bisherigen Einkommens - </w:t>
      </w:r>
      <w:r w:rsidR="008D2647">
        <w:rPr>
          <w:rStyle w:val="pxZchn"/>
          <w:rFonts w:cs="Times New Roman"/>
          <w:szCs w:val="22"/>
        </w:rPr>
        <w:t>von einer vollständigen Entkoppelung des im Vergleich geregelten Zahlungsanspruchs von der gesetzlichen Regelung des § 615 BGB auszugehen.</w:t>
      </w:r>
      <w:r w:rsidR="008D2647">
        <w:rPr>
          <w:rStyle w:val="pxZchn"/>
          <w:rFonts w:cs="Times New Roman"/>
          <w:szCs w:val="22"/>
        </w:rPr>
        <w:br/>
      </w:r>
      <w:r w:rsidR="009948DC">
        <w:rPr>
          <w:rStyle w:val="pxZchn"/>
          <w:rFonts w:cs="Times New Roman"/>
          <w:szCs w:val="22"/>
        </w:rPr>
        <w:br/>
      </w:r>
      <w:r w:rsidR="002462E4">
        <w:rPr>
          <w:rStyle w:val="pxZchn"/>
          <w:rFonts w:cs="Times New Roman"/>
          <w:szCs w:val="22"/>
        </w:rPr>
        <w:t xml:space="preserve">Hinzu kommt, dass bei einer Reduzierung der Vergütung auf den hälftigen Betrag, dem bisher in Vollzeit tätigen Arbeitnehmer </w:t>
      </w:r>
      <w:r w:rsidR="00BD63C9">
        <w:rPr>
          <w:rStyle w:val="pxZchn"/>
          <w:rFonts w:cs="Times New Roman"/>
          <w:szCs w:val="22"/>
        </w:rPr>
        <w:t>-</w:t>
      </w:r>
      <w:r w:rsidR="009948DC">
        <w:rPr>
          <w:rStyle w:val="pxZchn"/>
          <w:rFonts w:cs="Times New Roman"/>
          <w:szCs w:val="22"/>
        </w:rPr>
        <w:t xml:space="preserve"> wie einem Teilzeitbeschäftigten - ein Hinzuverdienst </w:t>
      </w:r>
      <w:r w:rsidR="00FA0D0E">
        <w:rPr>
          <w:rStyle w:val="pxZchn"/>
          <w:rFonts w:cs="Times New Roman"/>
          <w:szCs w:val="22"/>
        </w:rPr>
        <w:t xml:space="preserve">nicht </w:t>
      </w:r>
      <w:r w:rsidR="00BD63C9">
        <w:rPr>
          <w:rStyle w:val="pxZchn"/>
          <w:rFonts w:cs="Times New Roman"/>
          <w:szCs w:val="22"/>
        </w:rPr>
        <w:t xml:space="preserve">hätte </w:t>
      </w:r>
      <w:r w:rsidR="00FA0D0E">
        <w:rPr>
          <w:rStyle w:val="pxZchn"/>
          <w:rFonts w:cs="Times New Roman"/>
          <w:szCs w:val="22"/>
        </w:rPr>
        <w:t xml:space="preserve">verweigert </w:t>
      </w:r>
      <w:r w:rsidR="009948DC">
        <w:rPr>
          <w:rStyle w:val="pxZchn"/>
          <w:rFonts w:cs="Times New Roman"/>
          <w:szCs w:val="22"/>
        </w:rPr>
        <w:t xml:space="preserve">werden </w:t>
      </w:r>
      <w:r w:rsidR="00FA0D0E">
        <w:rPr>
          <w:rStyle w:val="pxZchn"/>
          <w:rFonts w:cs="Times New Roman"/>
          <w:szCs w:val="22"/>
        </w:rPr>
        <w:t>d</w:t>
      </w:r>
      <w:r w:rsidR="00BD63C9">
        <w:rPr>
          <w:rStyle w:val="pxZchn"/>
          <w:rFonts w:cs="Times New Roman"/>
          <w:szCs w:val="22"/>
        </w:rPr>
        <w:t>ü</w:t>
      </w:r>
      <w:r w:rsidR="00FA0D0E">
        <w:rPr>
          <w:rStyle w:val="pxZchn"/>
          <w:rFonts w:cs="Times New Roman"/>
          <w:szCs w:val="22"/>
        </w:rPr>
        <w:t>rf</w:t>
      </w:r>
      <w:r w:rsidR="00BD63C9">
        <w:rPr>
          <w:rStyle w:val="pxZchn"/>
          <w:rFonts w:cs="Times New Roman"/>
          <w:szCs w:val="22"/>
        </w:rPr>
        <w:t>en</w:t>
      </w:r>
      <w:r w:rsidR="009948DC">
        <w:rPr>
          <w:rStyle w:val="pxZchn"/>
          <w:rFonts w:cs="Times New Roman"/>
          <w:szCs w:val="22"/>
        </w:rPr>
        <w:t xml:space="preserve">, um sein bisheriges Einkommensniveau </w:t>
      </w:r>
      <w:r w:rsidR="00FA0D0E">
        <w:rPr>
          <w:rStyle w:val="pxZchn"/>
          <w:rFonts w:cs="Times New Roman"/>
          <w:szCs w:val="22"/>
        </w:rPr>
        <w:t xml:space="preserve">annähernd </w:t>
      </w:r>
      <w:r w:rsidR="009948DC">
        <w:rPr>
          <w:rStyle w:val="pxZchn"/>
          <w:rFonts w:cs="Times New Roman"/>
          <w:szCs w:val="22"/>
        </w:rPr>
        <w:t>zu er</w:t>
      </w:r>
      <w:r w:rsidR="00FA0D0E">
        <w:rPr>
          <w:rStyle w:val="pxZchn"/>
          <w:rFonts w:cs="Times New Roman"/>
          <w:szCs w:val="22"/>
        </w:rPr>
        <w:t>reichen</w:t>
      </w:r>
      <w:r w:rsidR="009948DC">
        <w:rPr>
          <w:rStyle w:val="pxZchn"/>
          <w:rFonts w:cs="Times New Roman"/>
          <w:szCs w:val="22"/>
        </w:rPr>
        <w:t>. Dies verlangt nach einer klarstellenden Regelung</w:t>
      </w:r>
      <w:r w:rsidR="00FA0D0E">
        <w:rPr>
          <w:rStyle w:val="pxZchn"/>
          <w:rFonts w:cs="Times New Roman"/>
          <w:szCs w:val="22"/>
        </w:rPr>
        <w:t xml:space="preserve"> </w:t>
      </w:r>
      <w:r w:rsidR="0072567B">
        <w:rPr>
          <w:rStyle w:val="pxZchn"/>
          <w:rFonts w:cs="Times New Roman"/>
          <w:szCs w:val="22"/>
        </w:rPr>
        <w:t>zur Hinzuverdienstmöglichkeit</w:t>
      </w:r>
      <w:r w:rsidR="00024178">
        <w:rPr>
          <w:rStyle w:val="pxZchn"/>
          <w:rFonts w:cs="Times New Roman"/>
          <w:szCs w:val="22"/>
        </w:rPr>
        <w:t xml:space="preserve"> im Vergleich</w:t>
      </w:r>
      <w:r w:rsidR="003F4A7D">
        <w:rPr>
          <w:rStyle w:val="pxZchn"/>
          <w:rFonts w:cs="Times New Roman"/>
          <w:szCs w:val="22"/>
        </w:rPr>
        <w:t xml:space="preserve">. Denkbar ist in </w:t>
      </w:r>
      <w:r w:rsidR="00155B5A">
        <w:rPr>
          <w:rStyle w:val="pxZchn"/>
          <w:rFonts w:cs="Times New Roman"/>
          <w:szCs w:val="22"/>
        </w:rPr>
        <w:t xml:space="preserve">dieser </w:t>
      </w:r>
      <w:r w:rsidR="003F4A7D">
        <w:rPr>
          <w:rStyle w:val="pxZchn"/>
          <w:rFonts w:cs="Times New Roman"/>
          <w:szCs w:val="22"/>
        </w:rPr>
        <w:t>F</w:t>
      </w:r>
      <w:r w:rsidR="00155B5A">
        <w:rPr>
          <w:rStyle w:val="pxZchn"/>
          <w:rFonts w:cs="Times New Roman"/>
          <w:szCs w:val="22"/>
        </w:rPr>
        <w:t>a</w:t>
      </w:r>
      <w:r w:rsidR="003F4A7D">
        <w:rPr>
          <w:rStyle w:val="pxZchn"/>
          <w:rFonts w:cs="Times New Roman"/>
          <w:szCs w:val="22"/>
        </w:rPr>
        <w:t>ll</w:t>
      </w:r>
      <w:r w:rsidR="00155B5A">
        <w:rPr>
          <w:rStyle w:val="pxZchn"/>
          <w:rFonts w:cs="Times New Roman"/>
          <w:szCs w:val="22"/>
        </w:rPr>
        <w:t>konstellatio</w:t>
      </w:r>
      <w:r w:rsidR="003F4A7D">
        <w:rPr>
          <w:rStyle w:val="pxZchn"/>
          <w:rFonts w:cs="Times New Roman"/>
          <w:szCs w:val="22"/>
        </w:rPr>
        <w:t>n, dass jegliche Anrechnung unterbleib</w:t>
      </w:r>
      <w:r w:rsidR="00155B5A">
        <w:rPr>
          <w:rStyle w:val="pxZchn"/>
          <w:rFonts w:cs="Times New Roman"/>
          <w:szCs w:val="22"/>
        </w:rPr>
        <w:t>en soll</w:t>
      </w:r>
      <w:r w:rsidR="003F4A7D">
        <w:rPr>
          <w:rStyle w:val="pxZchn"/>
          <w:rFonts w:cs="Times New Roman"/>
          <w:szCs w:val="22"/>
        </w:rPr>
        <w:t xml:space="preserve"> (wie von der Klägerin vertreten), ein </w:t>
      </w:r>
      <w:r w:rsidR="0072567B">
        <w:rPr>
          <w:rStyle w:val="pxZchn"/>
          <w:rFonts w:cs="Times New Roman"/>
          <w:szCs w:val="22"/>
        </w:rPr>
        <w:t xml:space="preserve">eventueller </w:t>
      </w:r>
      <w:r w:rsidR="003F4A7D">
        <w:rPr>
          <w:rStyle w:val="pxZchn"/>
          <w:rFonts w:cs="Times New Roman"/>
          <w:szCs w:val="22"/>
        </w:rPr>
        <w:t>Zwischenverdienst nur zu 50% berücksichtigt w</w:t>
      </w:r>
      <w:r w:rsidR="00155B5A">
        <w:rPr>
          <w:rStyle w:val="pxZchn"/>
          <w:rFonts w:cs="Times New Roman"/>
          <w:szCs w:val="22"/>
        </w:rPr>
        <w:t xml:space="preserve">erden soll </w:t>
      </w:r>
      <w:r w:rsidR="003F4A7D">
        <w:rPr>
          <w:rStyle w:val="pxZchn"/>
          <w:rFonts w:cs="Times New Roman"/>
          <w:szCs w:val="22"/>
        </w:rPr>
        <w:t>oder eine vollständige Anrechnung erfolgen soll (wie von der Beklagten vertreten</w:t>
      </w:r>
      <w:r w:rsidR="0072567B">
        <w:rPr>
          <w:rStyle w:val="pxZchn"/>
          <w:rFonts w:cs="Times New Roman"/>
          <w:szCs w:val="22"/>
        </w:rPr>
        <w:t>)</w:t>
      </w:r>
      <w:r w:rsidR="003F4A7D">
        <w:rPr>
          <w:rStyle w:val="pxZchn"/>
          <w:rFonts w:cs="Times New Roman"/>
          <w:szCs w:val="22"/>
        </w:rPr>
        <w:t>.</w:t>
      </w:r>
      <w:r w:rsidR="009948DC">
        <w:rPr>
          <w:rStyle w:val="pxZchn"/>
          <w:rFonts w:cs="Times New Roman"/>
          <w:szCs w:val="22"/>
        </w:rPr>
        <w:t xml:space="preserve"> </w:t>
      </w:r>
      <w:r w:rsidR="00BD3C8F">
        <w:rPr>
          <w:rStyle w:val="pxZchn"/>
          <w:rFonts w:cs="Times New Roman"/>
          <w:szCs w:val="22"/>
        </w:rPr>
        <w:br/>
      </w:r>
      <w:r w:rsidR="00155B5A">
        <w:rPr>
          <w:rStyle w:val="pxZchn"/>
          <w:rFonts w:cs="Times New Roman"/>
          <w:szCs w:val="22"/>
        </w:rPr>
        <w:br/>
        <w:t>Nach § 615 Satz 2 BGB m</w:t>
      </w:r>
      <w:r w:rsidR="00563D9E">
        <w:rPr>
          <w:rStyle w:val="pxZchn"/>
          <w:rFonts w:cs="Times New Roman"/>
          <w:szCs w:val="22"/>
        </w:rPr>
        <w:t xml:space="preserve">üsste </w:t>
      </w:r>
      <w:r w:rsidR="00155B5A">
        <w:rPr>
          <w:rStyle w:val="pxZchn"/>
          <w:rFonts w:cs="Times New Roman"/>
          <w:szCs w:val="22"/>
        </w:rPr>
        <w:t>sich d</w:t>
      </w:r>
      <w:r w:rsidR="00563D9E">
        <w:rPr>
          <w:rStyle w:val="pxZchn"/>
          <w:rFonts w:cs="Times New Roman"/>
          <w:szCs w:val="22"/>
        </w:rPr>
        <w:t>i</w:t>
      </w:r>
      <w:r w:rsidR="00155B5A">
        <w:rPr>
          <w:rStyle w:val="pxZchn"/>
          <w:rFonts w:cs="Times New Roman"/>
          <w:szCs w:val="22"/>
        </w:rPr>
        <w:t>e</w:t>
      </w:r>
      <w:r w:rsidR="00563D9E">
        <w:rPr>
          <w:rStyle w:val="pxZchn"/>
          <w:rFonts w:cs="Times New Roman"/>
          <w:szCs w:val="22"/>
        </w:rPr>
        <w:t xml:space="preserve"> Klägerin</w:t>
      </w:r>
      <w:r w:rsidR="00155B5A">
        <w:rPr>
          <w:rStyle w:val="pxZchn"/>
          <w:rFonts w:cs="Times New Roman"/>
          <w:szCs w:val="22"/>
        </w:rPr>
        <w:t xml:space="preserve"> auch nur den Zwischenverdienst anrechnen lassen, </w:t>
      </w:r>
      <w:r w:rsidR="00563D9E">
        <w:rPr>
          <w:rStyle w:val="pxZchn"/>
          <w:rFonts w:cs="Times New Roman"/>
          <w:szCs w:val="22"/>
        </w:rPr>
        <w:t>den sie während der Arbeitszeit erzielt hat, in der sie im Annahmeverzugszeitraum bei der Beklagten hätte Arbeitsleistungen erbringen müssen (vgl. BAG v. 24.02.2016 – 5 AZR 425/15 – NZA 2016, 687).</w:t>
      </w:r>
      <w:r w:rsidR="00BD3C8F">
        <w:rPr>
          <w:rStyle w:val="pxZchn"/>
          <w:rFonts w:cs="Times New Roman"/>
          <w:szCs w:val="22"/>
        </w:rPr>
        <w:t xml:space="preserve"> Infolge der Herabsetzung der geschuldeten Vergütung auf den hälftigen Betrag, müsste konsequenter Weise von lediglich einer Halbtagestätigkeit ausgegangen werden. Dies eröffnet eine anrechnungsfreie Hinzuverdienstmöglichkeit während der verbleibenden Tagesarbeitszeit.</w:t>
      </w:r>
      <w:r w:rsidR="00BD3C8F">
        <w:rPr>
          <w:rStyle w:val="pxZchn"/>
          <w:rFonts w:cs="Times New Roman"/>
          <w:szCs w:val="22"/>
        </w:rPr>
        <w:br/>
      </w:r>
      <w:r w:rsidR="00155B5A">
        <w:rPr>
          <w:rStyle w:val="pxZchn"/>
          <w:rFonts w:cs="Times New Roman"/>
          <w:szCs w:val="22"/>
        </w:rPr>
        <w:lastRenderedPageBreak/>
        <w:br/>
      </w:r>
      <w:r w:rsidR="00FE5C2B">
        <w:rPr>
          <w:rStyle w:val="pxZchn"/>
          <w:rFonts w:cs="Times New Roman"/>
          <w:szCs w:val="22"/>
        </w:rPr>
        <w:t xml:space="preserve">Insoweit wäre </w:t>
      </w:r>
      <w:r w:rsidR="004F13B7">
        <w:rPr>
          <w:rStyle w:val="pxZchn"/>
          <w:rFonts w:cs="Times New Roman"/>
          <w:szCs w:val="22"/>
        </w:rPr>
        <w:t xml:space="preserve">es </w:t>
      </w:r>
      <w:r w:rsidR="00FE5C2B">
        <w:rPr>
          <w:rStyle w:val="pxZchn"/>
          <w:rFonts w:cs="Times New Roman"/>
          <w:szCs w:val="22"/>
        </w:rPr>
        <w:t xml:space="preserve">geboten gewesen, </w:t>
      </w:r>
      <w:r w:rsidR="0072567B">
        <w:rPr>
          <w:rStyle w:val="pxZchn"/>
          <w:rFonts w:cs="Times New Roman"/>
          <w:szCs w:val="22"/>
        </w:rPr>
        <w:t xml:space="preserve">im Vergleich </w:t>
      </w:r>
      <w:r w:rsidR="00FE5C2B">
        <w:rPr>
          <w:rStyle w:val="pxZchn"/>
          <w:rFonts w:cs="Times New Roman"/>
          <w:szCs w:val="22"/>
        </w:rPr>
        <w:t xml:space="preserve">eine vollständige </w:t>
      </w:r>
      <w:r w:rsidR="00FA0D0E">
        <w:rPr>
          <w:rStyle w:val="pxZchn"/>
          <w:rFonts w:cs="Times New Roman"/>
          <w:szCs w:val="22"/>
        </w:rPr>
        <w:t xml:space="preserve">oder teilweise </w:t>
      </w:r>
      <w:r w:rsidR="00FE5C2B">
        <w:rPr>
          <w:rStyle w:val="pxZchn"/>
          <w:rFonts w:cs="Times New Roman"/>
          <w:szCs w:val="22"/>
        </w:rPr>
        <w:t xml:space="preserve">Anrechnung eines Zwischenverdienstes </w:t>
      </w:r>
      <w:r w:rsidR="004F13B7">
        <w:rPr>
          <w:rStyle w:val="pxZchn"/>
          <w:rFonts w:cs="Times New Roman"/>
          <w:szCs w:val="22"/>
        </w:rPr>
        <w:t>zu regeln</w:t>
      </w:r>
      <w:r w:rsidR="00FE5C2B">
        <w:rPr>
          <w:rStyle w:val="pxZchn"/>
          <w:rFonts w:cs="Times New Roman"/>
          <w:szCs w:val="22"/>
        </w:rPr>
        <w:t xml:space="preserve">, wenn das Einkommensniveau der </w:t>
      </w:r>
      <w:r w:rsidR="0072567B">
        <w:rPr>
          <w:rStyle w:val="pxZchn"/>
          <w:rFonts w:cs="Times New Roman"/>
          <w:szCs w:val="22"/>
        </w:rPr>
        <w:t xml:space="preserve">bisher </w:t>
      </w:r>
      <w:r w:rsidR="00FE5C2B">
        <w:rPr>
          <w:rStyle w:val="pxZchn"/>
          <w:rFonts w:cs="Times New Roman"/>
          <w:szCs w:val="22"/>
        </w:rPr>
        <w:t xml:space="preserve">vollzeitbeschäftigten Klägerin </w:t>
      </w:r>
      <w:r w:rsidR="004F13B7">
        <w:rPr>
          <w:rStyle w:val="pxZchn"/>
          <w:rFonts w:cs="Times New Roman"/>
          <w:szCs w:val="22"/>
        </w:rPr>
        <w:t xml:space="preserve">in Ziffer 2 des Vergleiches </w:t>
      </w:r>
      <w:r w:rsidR="00FE5C2B">
        <w:rPr>
          <w:rStyle w:val="pxZchn"/>
          <w:rFonts w:cs="Times New Roman"/>
          <w:szCs w:val="22"/>
        </w:rPr>
        <w:t xml:space="preserve">auf das einer Teilzeitkraft von 50% abgesenkt wird. </w:t>
      </w:r>
      <w:r w:rsidR="004F13B7">
        <w:rPr>
          <w:rStyle w:val="pxZchn"/>
          <w:rFonts w:cs="Times New Roman"/>
          <w:szCs w:val="22"/>
        </w:rPr>
        <w:br/>
      </w:r>
      <w:r w:rsidR="006B3A74">
        <w:rPr>
          <w:rStyle w:val="pxZchn"/>
          <w:rFonts w:cs="Times New Roman"/>
          <w:szCs w:val="22"/>
        </w:rPr>
        <w:t xml:space="preserve">Der Vergleichstext </w:t>
      </w:r>
      <w:r w:rsidR="0072567B">
        <w:rPr>
          <w:rStyle w:val="pxZchn"/>
          <w:rFonts w:cs="Times New Roman"/>
          <w:szCs w:val="22"/>
        </w:rPr>
        <w:t>enthält</w:t>
      </w:r>
      <w:r w:rsidR="006B3A74">
        <w:rPr>
          <w:rStyle w:val="pxZchn"/>
          <w:rFonts w:cs="Times New Roman"/>
          <w:szCs w:val="22"/>
        </w:rPr>
        <w:t xml:space="preserve"> hierzu </w:t>
      </w:r>
      <w:r w:rsidR="003F4A7D">
        <w:rPr>
          <w:rStyle w:val="pxZchn"/>
          <w:rFonts w:cs="Times New Roman"/>
          <w:szCs w:val="22"/>
        </w:rPr>
        <w:t xml:space="preserve">jedoch </w:t>
      </w:r>
      <w:r w:rsidR="006B3A74">
        <w:rPr>
          <w:rStyle w:val="pxZchn"/>
          <w:rFonts w:cs="Times New Roman"/>
          <w:szCs w:val="22"/>
        </w:rPr>
        <w:t>keine Klarstellung, was aufgrund der Regelung in Ziffer 6 des Vergleiches zum Nachteil der Beklagten gereicht</w:t>
      </w:r>
      <w:r w:rsidR="00B0526C">
        <w:rPr>
          <w:rStyle w:val="pxZchn"/>
          <w:rFonts w:cs="Times New Roman"/>
          <w:szCs w:val="22"/>
        </w:rPr>
        <w:t>, denn es sollte eine umfassende Regelung aller Rechte und Pflichten erfolgen.</w:t>
      </w:r>
      <w:r w:rsidR="009C2066">
        <w:rPr>
          <w:rStyle w:val="pxZchn"/>
          <w:rFonts w:cs="Times New Roman"/>
          <w:szCs w:val="22"/>
        </w:rPr>
        <w:t xml:space="preserve"> D</w:t>
      </w:r>
      <w:r w:rsidR="003F4A7D">
        <w:rPr>
          <w:rStyle w:val="pxZchn"/>
          <w:rFonts w:cs="Times New Roman"/>
          <w:szCs w:val="22"/>
        </w:rPr>
        <w:t>ie</w:t>
      </w:r>
      <w:r w:rsidR="00B0526C">
        <w:rPr>
          <w:rStyle w:val="pxZchn"/>
          <w:rFonts w:cs="Times New Roman"/>
          <w:szCs w:val="22"/>
        </w:rPr>
        <w:t xml:space="preserve"> Beklagte h</w:t>
      </w:r>
      <w:r w:rsidR="003F4A7D">
        <w:rPr>
          <w:rStyle w:val="pxZchn"/>
          <w:rFonts w:cs="Times New Roman"/>
          <w:szCs w:val="22"/>
        </w:rPr>
        <w:t xml:space="preserve">ätte </w:t>
      </w:r>
      <w:r w:rsidR="00B0526C">
        <w:rPr>
          <w:rStyle w:val="pxZchn"/>
          <w:rFonts w:cs="Times New Roman"/>
          <w:szCs w:val="22"/>
        </w:rPr>
        <w:t>sich die</w:t>
      </w:r>
      <w:r w:rsidR="003F4A7D">
        <w:rPr>
          <w:rStyle w:val="pxZchn"/>
          <w:rFonts w:cs="Times New Roman"/>
          <w:szCs w:val="22"/>
        </w:rPr>
        <w:t xml:space="preserve"> Anrechnung eines etwaigen Zwischenverdienstes </w:t>
      </w:r>
      <w:r w:rsidR="00B04696">
        <w:rPr>
          <w:rStyle w:val="pxZchn"/>
          <w:rFonts w:cs="Times New Roman"/>
          <w:szCs w:val="22"/>
        </w:rPr>
        <w:t xml:space="preserve">bei der vorliegenden Vergleichssituation </w:t>
      </w:r>
      <w:r w:rsidR="00B0526C">
        <w:rPr>
          <w:rStyle w:val="pxZchn"/>
          <w:rFonts w:cs="Times New Roman"/>
          <w:szCs w:val="22"/>
        </w:rPr>
        <w:t xml:space="preserve">im Vergleich </w:t>
      </w:r>
      <w:r w:rsidR="00B04696">
        <w:rPr>
          <w:rStyle w:val="pxZchn"/>
          <w:rFonts w:cs="Times New Roman"/>
          <w:szCs w:val="22"/>
        </w:rPr>
        <w:t xml:space="preserve">ausdrücklich </w:t>
      </w:r>
      <w:r w:rsidR="00B0526C">
        <w:rPr>
          <w:rStyle w:val="pxZchn"/>
          <w:rFonts w:cs="Times New Roman"/>
          <w:szCs w:val="22"/>
        </w:rPr>
        <w:t xml:space="preserve">vorbehalten </w:t>
      </w:r>
      <w:r w:rsidR="00B04696">
        <w:rPr>
          <w:rStyle w:val="pxZchn"/>
          <w:rFonts w:cs="Times New Roman"/>
          <w:szCs w:val="22"/>
        </w:rPr>
        <w:t>müssen.</w:t>
      </w:r>
      <w:r w:rsidR="006B3A74">
        <w:rPr>
          <w:rStyle w:val="pxZchn"/>
          <w:rFonts w:cs="Times New Roman"/>
          <w:szCs w:val="22"/>
        </w:rPr>
        <w:t xml:space="preserve"> </w:t>
      </w:r>
    </w:p>
    <w:p w:rsidR="009C2066" w:rsidRDefault="009C2066">
      <w:pPr>
        <w:spacing w:line="360" w:lineRule="auto"/>
        <w:rPr>
          <w:rStyle w:val="pxZchn"/>
          <w:rFonts w:cs="Times New Roman"/>
          <w:szCs w:val="22"/>
        </w:rPr>
      </w:pPr>
    </w:p>
    <w:p w:rsidR="009C2066" w:rsidRDefault="009C2066">
      <w:pPr>
        <w:spacing w:line="360" w:lineRule="auto"/>
        <w:rPr>
          <w:rStyle w:val="pxZchn"/>
          <w:rFonts w:cs="Times New Roman"/>
          <w:szCs w:val="22"/>
        </w:rPr>
      </w:pPr>
      <w:r>
        <w:rPr>
          <w:rStyle w:val="pxZchn"/>
          <w:rFonts w:cs="Times New Roman"/>
          <w:szCs w:val="22"/>
        </w:rPr>
        <w:t>Die Klägerin hat vereinbarungsgemäß d</w:t>
      </w:r>
      <w:r w:rsidR="00F270EE">
        <w:rPr>
          <w:rStyle w:val="pxZchn"/>
          <w:rFonts w:cs="Times New Roman"/>
          <w:szCs w:val="22"/>
        </w:rPr>
        <w:t xml:space="preserve">as bezogene Arbeitslosengeld in Abzug gebracht. </w:t>
      </w:r>
      <w:r w:rsidR="00F270EE">
        <w:rPr>
          <w:rStyle w:val="pxZchn"/>
          <w:rFonts w:cs="Times New Roman"/>
          <w:szCs w:val="22"/>
        </w:rPr>
        <w:br/>
      </w:r>
      <w:r w:rsidR="00F270EE">
        <w:rPr>
          <w:rStyle w:val="pxZchn"/>
          <w:rFonts w:cs="Times New Roman"/>
          <w:szCs w:val="22"/>
        </w:rPr>
        <w:br/>
        <w:t>Sonstige Einwände gegen die Berechnung der Haupt- und der Zinsforderungen werden von der Beklagten nicht erhoben. Insoweit erübrigen sich weitergehende Ausführungen.</w:t>
      </w:r>
    </w:p>
    <w:p w:rsidR="00E92F0C" w:rsidRDefault="00F60F5E">
      <w:pPr>
        <w:spacing w:line="360" w:lineRule="auto"/>
        <w:rPr>
          <w:rStyle w:val="pxZchn"/>
          <w:rFonts w:cs="Times New Roman"/>
          <w:szCs w:val="22"/>
        </w:rPr>
      </w:pPr>
      <w:r>
        <w:rPr>
          <w:rStyle w:val="pxZchn"/>
          <w:rFonts w:cs="Times New Roman"/>
          <w:szCs w:val="22"/>
        </w:rPr>
        <w:br/>
      </w:r>
    </w:p>
    <w:p w:rsidR="00277C65" w:rsidRDefault="00277C65" w:rsidP="00277C65">
      <w:pPr>
        <w:spacing w:line="360" w:lineRule="auto"/>
        <w:jc w:val="both"/>
        <w:rPr>
          <w:rFonts w:cs="Arial"/>
          <w:szCs w:val="22"/>
        </w:rPr>
      </w:pPr>
    </w:p>
    <w:p w:rsidR="00277C65" w:rsidRPr="00CE658E" w:rsidRDefault="00277C65" w:rsidP="00E35462">
      <w:pPr>
        <w:spacing w:line="360" w:lineRule="auto"/>
        <w:jc w:val="center"/>
      </w:pPr>
      <w:r w:rsidRPr="00CE658E">
        <w:t>III.</w:t>
      </w:r>
    </w:p>
    <w:p w:rsidR="00277C65" w:rsidRPr="00CE658E" w:rsidRDefault="00277C65" w:rsidP="00277C65">
      <w:pPr>
        <w:spacing w:line="360" w:lineRule="auto"/>
        <w:jc w:val="both"/>
      </w:pPr>
    </w:p>
    <w:p w:rsidR="00277C65" w:rsidRDefault="00277C65" w:rsidP="00277C65">
      <w:pPr>
        <w:numPr>
          <w:ilvl w:val="0"/>
          <w:numId w:val="19"/>
        </w:numPr>
        <w:spacing w:line="360" w:lineRule="auto"/>
      </w:pPr>
      <w:r w:rsidRPr="00CE658E">
        <w:t xml:space="preserve">Die </w:t>
      </w:r>
      <w:r>
        <w:t xml:space="preserve">unterlegene Beklagte hat die </w:t>
      </w:r>
      <w:r w:rsidRPr="00CE658E">
        <w:t>Kosten</w:t>
      </w:r>
      <w:r>
        <w:t xml:space="preserve"> des Rechtsstreits zu tragen, § </w:t>
      </w:r>
      <w:r w:rsidRPr="00CE658E">
        <w:t>9</w:t>
      </w:r>
      <w:r>
        <w:t>1 Abs. 1 ZP</w:t>
      </w:r>
      <w:r w:rsidRPr="00CE658E">
        <w:t xml:space="preserve">O. </w:t>
      </w:r>
      <w:r>
        <w:br/>
      </w:r>
    </w:p>
    <w:p w:rsidR="00277C65" w:rsidRPr="00CE658E" w:rsidRDefault="00277C65" w:rsidP="00277C65">
      <w:pPr>
        <w:numPr>
          <w:ilvl w:val="0"/>
          <w:numId w:val="19"/>
        </w:numPr>
        <w:spacing w:line="360" w:lineRule="auto"/>
      </w:pPr>
      <w:r>
        <w:t xml:space="preserve">Die Revision ist zuzulassen, denn der Auslegung einer Vergleichsklausel, die </w:t>
      </w:r>
      <w:r w:rsidR="00241DB7">
        <w:t xml:space="preserve">die Abrechnung und Zahlung eines erheblich reduzierten Monatseinkommens zum Inhalt hat, wird in Bezug auf eine Anrechnung von Zwischenverdienst </w:t>
      </w:r>
      <w:r>
        <w:t xml:space="preserve">gem. § 72 Abs. 2 Nr. 1 ArbGG grundsätzliche Bedeutung beigemessen. </w:t>
      </w:r>
    </w:p>
    <w:p w:rsidR="0093068F" w:rsidRDefault="0093068F" w:rsidP="00277C65">
      <w:pPr>
        <w:spacing w:line="360" w:lineRule="auto"/>
        <w:rPr>
          <w:rStyle w:val="pxZchn"/>
          <w:rFonts w:cs="Times New Roman"/>
          <w:szCs w:val="22"/>
        </w:rPr>
      </w:pPr>
    </w:p>
    <w:p w:rsidR="0093068F" w:rsidRDefault="00F60F5E">
      <w:pPr>
        <w:spacing w:line="360" w:lineRule="auto"/>
        <w:rPr>
          <w:rStyle w:val="pxZchn"/>
          <w:rFonts w:cs="Times New Roman"/>
          <w:szCs w:val="22"/>
        </w:rPr>
      </w:pPr>
      <w:r>
        <w:rPr>
          <w:rStyle w:val="pxZchn"/>
          <w:rFonts w:cs="Times New Roman"/>
          <w:szCs w:val="22"/>
        </w:rPr>
        <w:br/>
      </w:r>
      <w:r>
        <w:rPr>
          <w:rStyle w:val="pxZchn"/>
          <w:rFonts w:cs="Times New Roman"/>
          <w:szCs w:val="22"/>
        </w:rPr>
        <w:br/>
      </w:r>
      <w:r>
        <w:rPr>
          <w:rStyle w:val="pxZchn"/>
          <w:rFonts w:cs="Times New Roman"/>
          <w:szCs w:val="22"/>
        </w:rPr>
        <w:br/>
      </w:r>
      <w:r>
        <w:rPr>
          <w:rStyle w:val="pxZchn"/>
          <w:rFonts w:cs="Times New Roman"/>
          <w:szCs w:val="22"/>
        </w:rPr>
        <w:br/>
      </w:r>
    </w:p>
    <w:p w:rsidR="00E57263" w:rsidRDefault="00E57263">
      <w:pPr>
        <w:spacing w:before="480" w:after="120" w:line="360" w:lineRule="auto"/>
        <w:jc w:val="center"/>
        <w:rPr>
          <w:rStyle w:val="pxZchn"/>
          <w:rFonts w:cs="Times New Roman"/>
          <w:b/>
          <w:sz w:val="28"/>
          <w:szCs w:val="28"/>
        </w:rPr>
      </w:pPr>
    </w:p>
    <w:p w:rsidR="0093068F" w:rsidRDefault="00F96B2C">
      <w:pPr>
        <w:spacing w:before="480" w:after="120" w:line="360" w:lineRule="auto"/>
        <w:jc w:val="center"/>
        <w:rPr>
          <w:rStyle w:val="pxZchn"/>
          <w:rFonts w:cs="Times New Roman"/>
          <w:u w:val="single"/>
        </w:rPr>
      </w:pPr>
      <w:bookmarkStart w:id="0" w:name="_GoBack"/>
      <w:bookmarkEnd w:id="0"/>
      <w:r>
        <w:rPr>
          <w:rStyle w:val="pxZchn"/>
          <w:rFonts w:cs="Times New Roman"/>
          <w:b/>
          <w:sz w:val="28"/>
          <w:szCs w:val="28"/>
        </w:rPr>
        <w:t>Rechtsmittelbelehrung:</w:t>
      </w:r>
    </w:p>
    <w:p w:rsidR="0093068F" w:rsidRDefault="0093068F">
      <w:pPr>
        <w:pStyle w:val="AnredeEAR"/>
        <w:spacing w:before="0" w:after="0" w:line="360" w:lineRule="auto"/>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Gegen dieses Urteil kann die Beklagte Revision einlegen.</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Für die Klägerin ist gegen dieses Urteil kein Rechtsmittel gegeben.</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Die Revision muss innerhalb einer Frist von einem Monat eingelegt und innerhalb einer Frist von zwei Monaten begründet werden.</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Beide Fristen beginnen mit der Zustellung des in vollständiger Form abgefassten Urteils, spätestens aber mit Ablauf von fünf Monaten nach der Verkündung des Urteils.</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 xml:space="preserve">Die Revision muss beim </w:t>
      </w:r>
    </w:p>
    <w:p w:rsidR="0093068F" w:rsidRDefault="0093068F" w:rsidP="00E57263">
      <w:pPr>
        <w:pStyle w:val="AnredeEAR"/>
        <w:spacing w:before="0" w:after="0"/>
        <w:rPr>
          <w:rStyle w:val="pxZchn"/>
          <w:rFonts w:cs="Times New Roman"/>
          <w:szCs w:val="22"/>
        </w:rPr>
      </w:pPr>
    </w:p>
    <w:p w:rsidR="0093068F" w:rsidRDefault="00F96B2C" w:rsidP="00E57263">
      <w:pPr>
        <w:ind w:left="2880"/>
        <w:rPr>
          <w:rStyle w:val="pxZchn"/>
          <w:rFonts w:cs="Times New Roman"/>
          <w:szCs w:val="22"/>
        </w:rPr>
      </w:pPr>
      <w:r>
        <w:rPr>
          <w:rStyle w:val="pxZchn"/>
          <w:rFonts w:cs="Times New Roman"/>
        </w:rPr>
        <w:t>Bundesarbeitsgericht</w:t>
      </w:r>
    </w:p>
    <w:p w:rsidR="0093068F" w:rsidRDefault="00F96B2C" w:rsidP="00E57263">
      <w:pPr>
        <w:ind w:left="2880"/>
        <w:rPr>
          <w:rStyle w:val="pxZchn"/>
          <w:rFonts w:cs="Times New Roman"/>
          <w:szCs w:val="22"/>
        </w:rPr>
      </w:pPr>
      <w:r>
        <w:rPr>
          <w:rStyle w:val="pxZchn"/>
          <w:rFonts w:cs="Times New Roman"/>
        </w:rPr>
        <w:t>Hugo-Preuß-Platz 1</w:t>
      </w:r>
    </w:p>
    <w:p w:rsidR="0093068F" w:rsidRDefault="00F96B2C" w:rsidP="00E57263">
      <w:pPr>
        <w:ind w:left="2880"/>
        <w:rPr>
          <w:rStyle w:val="pxZchn"/>
          <w:rFonts w:cs="Times New Roman"/>
          <w:szCs w:val="22"/>
        </w:rPr>
      </w:pPr>
      <w:r>
        <w:rPr>
          <w:rStyle w:val="pxZchn"/>
          <w:rFonts w:cs="Times New Roman"/>
        </w:rPr>
        <w:t>99084 Erfurt</w:t>
      </w:r>
    </w:p>
    <w:p w:rsidR="0093068F" w:rsidRDefault="0093068F" w:rsidP="00E57263">
      <w:pPr>
        <w:ind w:left="2880"/>
        <w:rPr>
          <w:rStyle w:val="pxZchn"/>
          <w:rFonts w:cs="Times New Roman"/>
          <w:szCs w:val="22"/>
        </w:rPr>
      </w:pPr>
    </w:p>
    <w:p w:rsidR="0093068F" w:rsidRDefault="00F96B2C" w:rsidP="00E57263">
      <w:pPr>
        <w:ind w:left="2880"/>
        <w:rPr>
          <w:rStyle w:val="pxZchn"/>
          <w:rFonts w:cs="Times New Roman"/>
          <w:szCs w:val="22"/>
        </w:rPr>
      </w:pPr>
      <w:r>
        <w:rPr>
          <w:rStyle w:val="pxZchn"/>
          <w:rFonts w:cs="Times New Roman"/>
        </w:rPr>
        <w:t>Postanschrift:</w:t>
      </w:r>
    </w:p>
    <w:p w:rsidR="0093068F" w:rsidRDefault="00F96B2C" w:rsidP="00E57263">
      <w:pPr>
        <w:ind w:left="2880"/>
        <w:rPr>
          <w:rStyle w:val="pxZchn"/>
          <w:rFonts w:cs="Times New Roman"/>
          <w:szCs w:val="22"/>
        </w:rPr>
      </w:pPr>
      <w:r>
        <w:rPr>
          <w:rStyle w:val="pxZchn"/>
          <w:rFonts w:cs="Times New Roman"/>
        </w:rPr>
        <w:t>Bundesarbeitsgericht</w:t>
      </w:r>
    </w:p>
    <w:p w:rsidR="0093068F" w:rsidRDefault="00F96B2C" w:rsidP="00E57263">
      <w:pPr>
        <w:ind w:left="2880"/>
        <w:rPr>
          <w:rStyle w:val="pxZchn"/>
          <w:rFonts w:cs="Times New Roman"/>
          <w:szCs w:val="22"/>
        </w:rPr>
      </w:pPr>
      <w:r>
        <w:rPr>
          <w:rStyle w:val="pxZchn"/>
          <w:rFonts w:cs="Times New Roman"/>
        </w:rPr>
        <w:t>99113 Erfurt</w:t>
      </w:r>
    </w:p>
    <w:p w:rsidR="0093068F" w:rsidRDefault="0093068F" w:rsidP="00E57263">
      <w:pPr>
        <w:ind w:left="2880"/>
        <w:rPr>
          <w:rStyle w:val="pxZchn"/>
          <w:rFonts w:cs="Times New Roman"/>
          <w:szCs w:val="22"/>
        </w:rPr>
      </w:pPr>
    </w:p>
    <w:p w:rsidR="0093068F" w:rsidRDefault="00F96B2C" w:rsidP="00E57263">
      <w:pPr>
        <w:ind w:left="2880"/>
        <w:rPr>
          <w:rStyle w:val="pxZchn"/>
          <w:rFonts w:cs="Times New Roman"/>
          <w:szCs w:val="22"/>
        </w:rPr>
      </w:pPr>
      <w:r>
        <w:rPr>
          <w:rStyle w:val="pxZchn"/>
          <w:rFonts w:cs="Times New Roman"/>
        </w:rPr>
        <w:t>Telefax-Nummer:</w:t>
      </w:r>
    </w:p>
    <w:p w:rsidR="0093068F" w:rsidRDefault="00F96B2C" w:rsidP="00E57263">
      <w:pPr>
        <w:ind w:left="2880"/>
        <w:rPr>
          <w:rStyle w:val="pxZchn"/>
          <w:rFonts w:cs="Times New Roman"/>
          <w:szCs w:val="22"/>
        </w:rPr>
      </w:pPr>
      <w:r>
        <w:rPr>
          <w:rStyle w:val="pxZchn"/>
          <w:rFonts w:cs="Times New Roman"/>
        </w:rPr>
        <w:t>0361 2636-2000</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eingelegt und begründet werden.</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sz w:val="18"/>
          <w:szCs w:val="18"/>
        </w:rPr>
        <w:t xml:space="preserve">Die Revisionsschrift und die Revisionsbegründung müssen von einem Rechtsanwalt unterzeichnet sein. </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sz w:val="18"/>
          <w:szCs w:val="18"/>
        </w:rPr>
        <w:t>Es genügt auch die Unterzeichnung durch einen Bevollmächtigten der Gewerkschaften und von Vereinigungen von Arbeitgebern sowie von Zusammenschlüssen solcher Verbände</w:t>
      </w:r>
    </w:p>
    <w:p w:rsidR="0093068F" w:rsidRDefault="00F96B2C" w:rsidP="00E57263">
      <w:pPr>
        <w:numPr>
          <w:ilvl w:val="0"/>
          <w:numId w:val="12"/>
        </w:numPr>
        <w:rPr>
          <w:rStyle w:val="pxZchn"/>
          <w:rFonts w:cs="Times New Roman"/>
        </w:rPr>
      </w:pPr>
      <w:r>
        <w:rPr>
          <w:rStyle w:val="pxZchn"/>
          <w:rFonts w:cs="Times New Roman"/>
          <w:sz w:val="18"/>
          <w:szCs w:val="18"/>
        </w:rPr>
        <w:t xml:space="preserve">für ihre Mitglieder </w:t>
      </w:r>
    </w:p>
    <w:p w:rsidR="0093068F" w:rsidRDefault="00F96B2C" w:rsidP="00E57263">
      <w:pPr>
        <w:numPr>
          <w:ilvl w:val="0"/>
          <w:numId w:val="12"/>
        </w:numPr>
        <w:rPr>
          <w:rStyle w:val="pxZchn"/>
          <w:rFonts w:cs="Times New Roman"/>
        </w:rPr>
      </w:pPr>
      <w:r>
        <w:rPr>
          <w:rStyle w:val="pxZchn"/>
          <w:rFonts w:cs="Times New Roman"/>
          <w:sz w:val="18"/>
          <w:szCs w:val="18"/>
        </w:rPr>
        <w:t xml:space="preserve">oder für andere Verbände oder Zusammenschlüsse mit vergleichbarer Ausrichtung und deren Mitglieder </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sz w:val="18"/>
          <w:szCs w:val="18"/>
        </w:rPr>
        <w:t>oder</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sz w:val="18"/>
          <w:szCs w:val="18"/>
        </w:rPr>
        <w:t xml:space="preserve">von juristischen Personen, deren Anteile sämtlich in wirtschaftlichem Eigentum einer der im vorgenannten Absatz bezeichneten Organisationen stehen, </w:t>
      </w:r>
    </w:p>
    <w:p w:rsidR="0093068F" w:rsidRDefault="00F96B2C" w:rsidP="00E57263">
      <w:pPr>
        <w:numPr>
          <w:ilvl w:val="0"/>
          <w:numId w:val="12"/>
        </w:numPr>
        <w:rPr>
          <w:rStyle w:val="pxZchn"/>
          <w:rFonts w:cs="Times New Roman"/>
        </w:rPr>
      </w:pPr>
      <w:r>
        <w:rPr>
          <w:rStyle w:val="pxZchn"/>
          <w:rFonts w:cs="Times New Roman"/>
          <w:sz w:val="18"/>
          <w:szCs w:val="18"/>
        </w:rPr>
        <w:t>wenn die juristische Person ausschließlich die Rechtsberatung und Prozessvertretung dieser Organisation und ihrer Mitglieder oder anderer Verbände oder Zusammenschlüsse mit vergleichbarer Ausrichtung und deren Mitglieder entsprechend deren Satzung durchführt</w:t>
      </w:r>
    </w:p>
    <w:p w:rsidR="0093068F" w:rsidRDefault="00F96B2C" w:rsidP="00E57263">
      <w:pPr>
        <w:numPr>
          <w:ilvl w:val="0"/>
          <w:numId w:val="12"/>
        </w:numPr>
        <w:rPr>
          <w:rStyle w:val="pxZchn"/>
          <w:rFonts w:cs="Times New Roman"/>
        </w:rPr>
      </w:pPr>
      <w:r>
        <w:rPr>
          <w:rStyle w:val="pxZchn"/>
          <w:rFonts w:cs="Times New Roman"/>
          <w:sz w:val="18"/>
          <w:szCs w:val="18"/>
        </w:rPr>
        <w:t>und wenn die Organisation für die Tätigkeit der Bevollmächtigten haftet.</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sz w:val="18"/>
          <w:szCs w:val="18"/>
        </w:rPr>
        <w:t>In jedem Fall muss der Bevollmächtigte die Befähigung zum Richteramt haben.</w:t>
      </w:r>
    </w:p>
    <w:p w:rsidR="0093068F" w:rsidRDefault="0093068F" w:rsidP="00E57263">
      <w:pPr>
        <w:pStyle w:val="AnredeEAR"/>
        <w:spacing w:before="0" w:after="0"/>
        <w:rPr>
          <w:rStyle w:val="pxZchn"/>
          <w:rFonts w:cs="Times New Roman"/>
          <w:szCs w:val="22"/>
        </w:rPr>
      </w:pPr>
    </w:p>
    <w:p w:rsidR="0093068F" w:rsidRDefault="00F96B2C" w:rsidP="00E57263">
      <w:pPr>
        <w:pStyle w:val="AnredeEAR"/>
        <w:spacing w:before="0" w:after="0"/>
        <w:rPr>
          <w:rStyle w:val="pxZchn"/>
          <w:rFonts w:cs="Times New Roman"/>
          <w:szCs w:val="22"/>
        </w:rPr>
      </w:pPr>
      <w:r>
        <w:rPr>
          <w:rStyle w:val="pxZchn"/>
          <w:rFonts w:cs="Times New Roman"/>
        </w:rPr>
        <w:t xml:space="preserve">Die Revision kann auch in elektronischer Form eingelegt und begründet werden. Das </w:t>
      </w:r>
      <w:r>
        <w:rPr>
          <w:rStyle w:val="pxZchn"/>
          <w:rFonts w:cs="Times New Roman"/>
        </w:rPr>
        <w:lastRenderedPageBreak/>
        <w:t>elektronische Dokument muss für die Bearbeitung durch das Gericht geeignet und mit einer qualifizierten elektronischen Signatur der verantwortenden Person versehen sein oder von der verantwortenden Person signiert und auf einem sicheren Übermittlungsweg entsprechend §</w:t>
      </w:r>
      <w:r w:rsidR="00BA49AF">
        <w:rPr>
          <w:rStyle w:val="pxZchn"/>
          <w:rFonts w:cs="Times New Roman"/>
        </w:rPr>
        <w:t> </w:t>
      </w:r>
      <w:r>
        <w:rPr>
          <w:rStyle w:val="pxZchn"/>
          <w:rFonts w:cs="Times New Roman"/>
        </w:rPr>
        <w:t>46c</w:t>
      </w:r>
      <w:r w:rsidR="00BA49AF">
        <w:rPr>
          <w:rStyle w:val="pxZchn"/>
          <w:rFonts w:cs="Times New Roman"/>
        </w:rPr>
        <w:t> </w:t>
      </w:r>
      <w:r>
        <w:rPr>
          <w:rStyle w:val="pxZchn"/>
          <w:rFonts w:cs="Times New Roman"/>
        </w:rPr>
        <w:t>ArbGG übermittelt werden. Wegen näherer Einzelheiten wird verwiesen auf die Verordnung über die technischen Rahmenbedingungen des elektronischen Rechtsverkehrs und über das besondere elektronische Behördenpostfach (ERVV) vom 24.</w:t>
      </w:r>
      <w:r w:rsidR="00BA49AF">
        <w:rPr>
          <w:rStyle w:val="pxZchn"/>
          <w:rFonts w:cs="Times New Roman"/>
        </w:rPr>
        <w:t> </w:t>
      </w:r>
      <w:r>
        <w:rPr>
          <w:rStyle w:val="pxZchn"/>
          <w:rFonts w:cs="Times New Roman"/>
        </w:rPr>
        <w:t>November</w:t>
      </w:r>
      <w:r w:rsidR="00BA49AF">
        <w:rPr>
          <w:rStyle w:val="pxZchn"/>
          <w:rFonts w:cs="Times New Roman"/>
        </w:rPr>
        <w:t> </w:t>
      </w:r>
      <w:r>
        <w:rPr>
          <w:rStyle w:val="pxZchn"/>
          <w:rFonts w:cs="Times New Roman"/>
        </w:rPr>
        <w:t>2017 in der jeweils geltenden Fassung.</w:t>
      </w:r>
    </w:p>
    <w:p w:rsidR="0093068F" w:rsidRDefault="0093068F" w:rsidP="00E57263">
      <w:pPr>
        <w:pStyle w:val="AnredeEAR"/>
        <w:spacing w:before="0" w:after="0"/>
        <w:rPr>
          <w:rStyle w:val="pxZchn"/>
          <w:rFonts w:cs="Times New Roman"/>
          <w:szCs w:val="22"/>
        </w:rPr>
      </w:pPr>
    </w:p>
    <w:p w:rsidR="0093068F" w:rsidRDefault="0093068F" w:rsidP="00E57263">
      <w:pPr>
        <w:pStyle w:val="AnredeEAR"/>
        <w:spacing w:before="0" w:after="0"/>
        <w:rPr>
          <w:rStyle w:val="pxZchn"/>
          <w:rFonts w:cs="Times New Roman"/>
          <w:szCs w:val="22"/>
        </w:rPr>
      </w:pPr>
    </w:p>
    <w:p w:rsidR="00E35462" w:rsidRDefault="00F60F5E" w:rsidP="00E57263">
      <w:pPr>
        <w:pStyle w:val="AnredeEAR"/>
        <w:spacing w:before="0" w:after="0"/>
        <w:rPr>
          <w:rStyle w:val="pxZchn"/>
          <w:rFonts w:cs="Times New Roman"/>
          <w:szCs w:val="22"/>
        </w:rPr>
      </w:pPr>
      <w:r>
        <w:rPr>
          <w:rStyle w:val="pxZchn"/>
          <w:rFonts w:cs="Times New Roman"/>
          <w:szCs w:val="22"/>
        </w:rPr>
        <w:br/>
      </w:r>
      <w:r>
        <w:rPr>
          <w:rStyle w:val="pxZchn"/>
          <w:rFonts w:cs="Times New Roman"/>
          <w:szCs w:val="22"/>
        </w:rPr>
        <w:br/>
      </w:r>
      <w:r>
        <w:rPr>
          <w:rStyle w:val="pxZchn"/>
          <w:rFonts w:cs="Times New Roman"/>
          <w:szCs w:val="22"/>
        </w:rPr>
        <w:br/>
      </w:r>
    </w:p>
    <w:p w:rsidR="00E35462" w:rsidRDefault="00E35462" w:rsidP="00E57263">
      <w:pPr>
        <w:pStyle w:val="AnredeEAR"/>
        <w:spacing w:before="0" w:after="0"/>
        <w:rPr>
          <w:rStyle w:val="pxZchn"/>
          <w:rFonts w:cs="Times New Roman"/>
          <w:szCs w:val="22"/>
        </w:rPr>
      </w:pPr>
    </w:p>
    <w:p w:rsidR="00E35462" w:rsidRDefault="00E35462" w:rsidP="00E57263">
      <w:pPr>
        <w:pStyle w:val="AnredeEAR"/>
        <w:spacing w:before="0" w:after="0"/>
        <w:rPr>
          <w:rStyle w:val="pxZchn"/>
          <w:rFonts w:cs="Times New Roman"/>
          <w:szCs w:val="22"/>
        </w:rPr>
      </w:pPr>
    </w:p>
    <w:p w:rsidR="0093068F" w:rsidRDefault="0093068F" w:rsidP="00E57263">
      <w:pPr>
        <w:pStyle w:val="AnredeEAR"/>
        <w:spacing w:before="0" w:after="0"/>
        <w:rPr>
          <w:rStyle w:val="pxZchn"/>
          <w:rFonts w:cs="Times New Roman"/>
          <w:szCs w:val="22"/>
        </w:rPr>
      </w:pPr>
    </w:p>
    <w:p w:rsidR="0093068F" w:rsidRDefault="0093068F" w:rsidP="00E57263">
      <w:pPr>
        <w:pStyle w:val="AnredeEAR"/>
        <w:spacing w:before="0" w:after="0"/>
        <w:rPr>
          <w:b/>
        </w:rPr>
      </w:pPr>
    </w:p>
    <w:tbl>
      <w:tblPr>
        <w:tblW w:w="0" w:type="auto"/>
        <w:tblLook w:val="01E0" w:firstRow="1" w:lastRow="1" w:firstColumn="1" w:lastColumn="1" w:noHBand="0" w:noVBand="0"/>
      </w:tblPr>
      <w:tblGrid>
        <w:gridCol w:w="2924"/>
        <w:gridCol w:w="2933"/>
        <w:gridCol w:w="2930"/>
      </w:tblGrid>
      <w:tr w:rsidR="0093068F" w:rsidRPr="00BB30E7" w:rsidTr="00BB30E7">
        <w:tc>
          <w:tcPr>
            <w:tcW w:w="2975" w:type="dxa"/>
            <w:shd w:val="clear" w:color="auto" w:fill="auto"/>
          </w:tcPr>
          <w:p w:rsidR="0093068F" w:rsidRPr="00E35462" w:rsidRDefault="00F96B2C" w:rsidP="00E57263">
            <w:pPr>
              <w:pStyle w:val="AnredeEAR"/>
              <w:spacing w:before="0" w:after="0"/>
              <w:jc w:val="center"/>
              <w:rPr>
                <w:b/>
              </w:rPr>
            </w:pPr>
            <w:r w:rsidRPr="00E35462">
              <w:rPr>
                <w:b/>
              </w:rPr>
              <w:t>Roth</w:t>
            </w:r>
          </w:p>
        </w:tc>
        <w:tc>
          <w:tcPr>
            <w:tcW w:w="2976" w:type="dxa"/>
            <w:shd w:val="clear" w:color="auto" w:fill="auto"/>
          </w:tcPr>
          <w:p w:rsidR="0093068F" w:rsidRPr="00E35462" w:rsidRDefault="00F96B2C" w:rsidP="00E57263">
            <w:pPr>
              <w:pStyle w:val="AnredeEAR"/>
              <w:spacing w:before="0" w:after="0"/>
              <w:jc w:val="center"/>
              <w:rPr>
                <w:b/>
              </w:rPr>
            </w:pPr>
            <w:r w:rsidRPr="00E35462">
              <w:rPr>
                <w:b/>
              </w:rPr>
              <w:t>Schlund</w:t>
            </w:r>
          </w:p>
        </w:tc>
        <w:tc>
          <w:tcPr>
            <w:tcW w:w="2976" w:type="dxa"/>
            <w:shd w:val="clear" w:color="auto" w:fill="auto"/>
          </w:tcPr>
          <w:p w:rsidR="0093068F" w:rsidRPr="00E35462" w:rsidRDefault="00F96B2C" w:rsidP="00E57263">
            <w:pPr>
              <w:pStyle w:val="AnredeEAR"/>
              <w:spacing w:before="0" w:after="0"/>
              <w:jc w:val="center"/>
              <w:rPr>
                <w:b/>
              </w:rPr>
            </w:pPr>
            <w:proofErr w:type="spellStart"/>
            <w:r w:rsidRPr="00E35462">
              <w:rPr>
                <w:b/>
              </w:rPr>
              <w:t>Schnackig</w:t>
            </w:r>
            <w:proofErr w:type="spellEnd"/>
          </w:p>
        </w:tc>
      </w:tr>
      <w:tr w:rsidR="0093068F" w:rsidRPr="00BB30E7" w:rsidTr="00BB30E7">
        <w:tc>
          <w:tcPr>
            <w:tcW w:w="2975" w:type="dxa"/>
            <w:shd w:val="clear" w:color="auto" w:fill="auto"/>
          </w:tcPr>
          <w:p w:rsidR="0093068F" w:rsidRDefault="00F96B2C" w:rsidP="00E57263">
            <w:pPr>
              <w:pStyle w:val="AnredeEAR"/>
              <w:spacing w:before="0" w:after="0"/>
              <w:jc w:val="center"/>
            </w:pPr>
            <w:r>
              <w:t>Vizepräsident des</w:t>
            </w:r>
          </w:p>
        </w:tc>
        <w:tc>
          <w:tcPr>
            <w:tcW w:w="2976" w:type="dxa"/>
            <w:shd w:val="clear" w:color="auto" w:fill="auto"/>
          </w:tcPr>
          <w:p w:rsidR="0093068F" w:rsidRDefault="00E35462" w:rsidP="00E57263">
            <w:pPr>
              <w:pStyle w:val="AnredeEAR"/>
              <w:spacing w:before="0" w:after="0"/>
              <w:jc w:val="center"/>
            </w:pPr>
            <w:r>
              <w:t>Ehrenamtlicher</w:t>
            </w:r>
          </w:p>
        </w:tc>
        <w:tc>
          <w:tcPr>
            <w:tcW w:w="2976" w:type="dxa"/>
            <w:shd w:val="clear" w:color="auto" w:fill="auto"/>
          </w:tcPr>
          <w:p w:rsidR="0093068F" w:rsidRDefault="00E35462" w:rsidP="00E57263">
            <w:pPr>
              <w:pStyle w:val="AnredeEAR"/>
              <w:spacing w:before="0" w:after="0"/>
              <w:jc w:val="center"/>
            </w:pPr>
            <w:r>
              <w:t>Ehrenamtlicher</w:t>
            </w:r>
          </w:p>
        </w:tc>
      </w:tr>
      <w:tr w:rsidR="0093068F" w:rsidRPr="00BB30E7" w:rsidTr="00BB30E7">
        <w:tc>
          <w:tcPr>
            <w:tcW w:w="2975" w:type="dxa"/>
            <w:shd w:val="clear" w:color="auto" w:fill="auto"/>
          </w:tcPr>
          <w:p w:rsidR="0093068F" w:rsidRDefault="00F96B2C" w:rsidP="00E57263">
            <w:pPr>
              <w:pStyle w:val="AnredeEAR"/>
              <w:spacing w:before="0" w:after="0"/>
              <w:jc w:val="center"/>
            </w:pPr>
            <w:r>
              <w:t>Landesarbeitsgerichts</w:t>
            </w:r>
          </w:p>
        </w:tc>
        <w:tc>
          <w:tcPr>
            <w:tcW w:w="2976" w:type="dxa"/>
            <w:shd w:val="clear" w:color="auto" w:fill="auto"/>
          </w:tcPr>
          <w:p w:rsidR="0093068F" w:rsidRDefault="00E35462" w:rsidP="00E57263">
            <w:pPr>
              <w:pStyle w:val="AnredeEAR"/>
              <w:spacing w:before="0" w:after="0"/>
              <w:jc w:val="center"/>
            </w:pPr>
            <w:r>
              <w:t>Richter</w:t>
            </w:r>
          </w:p>
        </w:tc>
        <w:tc>
          <w:tcPr>
            <w:tcW w:w="2976" w:type="dxa"/>
            <w:shd w:val="clear" w:color="auto" w:fill="auto"/>
          </w:tcPr>
          <w:p w:rsidR="0093068F" w:rsidRDefault="00E35462" w:rsidP="00E57263">
            <w:pPr>
              <w:pStyle w:val="AnredeEAR"/>
              <w:spacing w:before="0" w:after="0"/>
              <w:jc w:val="center"/>
            </w:pPr>
            <w:r>
              <w:t>Richter</w:t>
            </w:r>
          </w:p>
        </w:tc>
      </w:tr>
    </w:tbl>
    <w:p w:rsidR="0093068F" w:rsidRDefault="0093068F" w:rsidP="00E57263">
      <w:pPr>
        <w:pStyle w:val="AnredeEAR"/>
        <w:spacing w:before="0" w:after="0"/>
        <w:rPr>
          <w:b/>
        </w:rPr>
      </w:pPr>
    </w:p>
    <w:p w:rsidR="002E2C4A" w:rsidRDefault="002E2C4A" w:rsidP="00E57263">
      <w:pPr>
        <w:pStyle w:val="AnredeEAR"/>
        <w:spacing w:before="0" w:after="0"/>
        <w:rPr>
          <w:b/>
        </w:rPr>
      </w:pPr>
    </w:p>
    <w:p w:rsidR="002E2C4A" w:rsidRDefault="002E2C4A" w:rsidP="00E57263">
      <w:pPr>
        <w:pStyle w:val="AnredeEAR"/>
        <w:spacing w:before="0" w:after="0"/>
        <w:rPr>
          <w:b/>
        </w:rPr>
      </w:pPr>
    </w:p>
    <w:p w:rsidR="002E2C4A" w:rsidRDefault="002E2C4A" w:rsidP="00E57263">
      <w:pPr>
        <w:pStyle w:val="AnredeEAR"/>
        <w:spacing w:before="0" w:after="0"/>
        <w:rPr>
          <w:b/>
        </w:rPr>
      </w:pPr>
    </w:p>
    <w:p w:rsidR="002E2C4A" w:rsidRDefault="002E2C4A">
      <w:pPr>
        <w:pStyle w:val="AnredeEAR"/>
        <w:spacing w:before="0" w:after="0"/>
        <w:rPr>
          <w:b/>
        </w:rPr>
      </w:pPr>
    </w:p>
    <w:p w:rsidR="00B83A7D" w:rsidRPr="00B83A7D" w:rsidRDefault="00B83A7D">
      <w:pPr>
        <w:pStyle w:val="AnredeEAR"/>
        <w:spacing w:before="0" w:after="0" w:line="360" w:lineRule="auto"/>
        <w:rPr>
          <w:rStyle w:val="pxZchn"/>
          <w:rFonts w:cs="Times New Roman"/>
          <w:szCs w:val="22"/>
        </w:rPr>
      </w:pPr>
    </w:p>
    <w:sectPr w:rsidR="00B83A7D" w:rsidRPr="00B83A7D" w:rsidSect="002E2C4A">
      <w:headerReference w:type="even" r:id="rId7"/>
      <w:headerReference w:type="default" r:id="rId8"/>
      <w:pgSz w:w="11906" w:h="16838"/>
      <w:pgMar w:top="1418" w:right="1418"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2C" w:rsidRDefault="00F96B2C">
      <w:r>
        <w:separator/>
      </w:r>
    </w:p>
    <w:p w:rsidR="00F96B2C" w:rsidRDefault="00F96B2C"/>
    <w:p w:rsidR="00F96B2C" w:rsidRDefault="00F96B2C"/>
  </w:endnote>
  <w:endnote w:type="continuationSeparator" w:id="0">
    <w:p w:rsidR="00F96B2C" w:rsidRDefault="00F96B2C">
      <w:r>
        <w:continuationSeparator/>
      </w:r>
    </w:p>
    <w:p w:rsidR="00F96B2C" w:rsidRDefault="00F96B2C"/>
    <w:p w:rsidR="00F96B2C" w:rsidRDefault="00F96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2C" w:rsidRDefault="00F96B2C">
      <w:r>
        <w:separator/>
      </w:r>
    </w:p>
    <w:p w:rsidR="00F96B2C" w:rsidRDefault="00F96B2C"/>
    <w:p w:rsidR="00F96B2C" w:rsidRDefault="00F96B2C"/>
  </w:footnote>
  <w:footnote w:type="continuationSeparator" w:id="0">
    <w:p w:rsidR="00F96B2C" w:rsidRDefault="00F96B2C">
      <w:r>
        <w:continuationSeparator/>
      </w:r>
    </w:p>
    <w:p w:rsidR="00F96B2C" w:rsidRDefault="00F96B2C"/>
    <w:p w:rsidR="00F96B2C" w:rsidRDefault="00F96B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F" w:rsidRDefault="0093068F"/>
  <w:p w:rsidR="0093068F" w:rsidRDefault="009306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F" w:rsidRDefault="0093068F">
    <w:pPr>
      <w:pStyle w:val="Kopfzeile"/>
      <w:spacing w:before="480"/>
    </w:pPr>
  </w:p>
  <w:p w:rsidR="0093068F" w:rsidRDefault="0093068F">
    <w:pPr>
      <w:pStyle w:val="Kopfzeile"/>
      <w:spacing w:before="480" w:after="240"/>
      <w:jc w:val="right"/>
    </w:pPr>
    <w:r>
      <w:fldChar w:fldCharType="begin" w:fldLock="1"/>
    </w:r>
    <w:r w:rsidR="00F96B2C">
      <w:instrText xml:space="preserve"> DOCPROPERTY  Aktenzeichen  \* MERGEFORMAT </w:instrText>
    </w:r>
    <w:r>
      <w:fldChar w:fldCharType="separate"/>
    </w:r>
    <w:r w:rsidR="002E2C4A">
      <w:t>4 Sa 306/18</w:t>
    </w:r>
    <w:r>
      <w:fldChar w:fldCharType="end"/>
    </w:r>
  </w:p>
  <w:p w:rsidR="0093068F" w:rsidRDefault="00F96B2C">
    <w:pPr>
      <w:pStyle w:val="Kopfzeile"/>
      <w:spacing w:before="240" w:after="480"/>
      <w:jc w:val="center"/>
    </w:pPr>
    <w:r>
      <w:t xml:space="preserve">- </w:t>
    </w:r>
    <w:r w:rsidR="0093068F">
      <w:fldChar w:fldCharType="begin"/>
    </w:r>
    <w:r>
      <w:instrText xml:space="preserve"> PAGE </w:instrText>
    </w:r>
    <w:r w:rsidR="0093068F">
      <w:fldChar w:fldCharType="separate"/>
    </w:r>
    <w:r w:rsidR="00E57263">
      <w:rPr>
        <w:noProof/>
      </w:rPr>
      <w:t>6</w:t>
    </w:r>
    <w:r w:rsidR="0093068F">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FDF"/>
    <w:multiLevelType w:val="multilevel"/>
    <w:tmpl w:val="9F3A219A"/>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right"/>
      <w:pPr>
        <w:tabs>
          <w:tab w:val="num" w:pos="1077"/>
        </w:tabs>
        <w:ind w:left="1077" w:firstLine="0"/>
      </w:pPr>
    </w:lvl>
    <w:lvl w:ilvl="3">
      <w:start w:val="1"/>
      <w:numFmt w:val="bullet"/>
      <w:lvlText w:val="-"/>
      <w:lvlJc w:val="left"/>
      <w:pPr>
        <w:tabs>
          <w:tab w:val="num" w:pos="2804"/>
        </w:tabs>
        <w:ind w:left="2804" w:hanging="284"/>
      </w:pPr>
      <w:rPr>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97F1C"/>
    <w:multiLevelType w:val="hybridMultilevel"/>
    <w:tmpl w:val="730CED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04699C"/>
    <w:multiLevelType w:val="hybridMultilevel"/>
    <w:tmpl w:val="8CDC7AAC"/>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40E6247"/>
    <w:multiLevelType w:val="hybridMultilevel"/>
    <w:tmpl w:val="09BCBD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4D64C85"/>
    <w:multiLevelType w:val="hybridMultilevel"/>
    <w:tmpl w:val="EB945066"/>
    <w:lvl w:ilvl="0" w:tplc="84F2C1A2">
      <w:start w:val="1"/>
      <w:numFmt w:val="decimal"/>
      <w:pStyle w:val="AbsRMBNum"/>
      <w:lvlText w:val="%1."/>
      <w:lvlJc w:val="left"/>
      <w:pPr>
        <w:tabs>
          <w:tab w:val="num" w:pos="357"/>
        </w:tabs>
        <w:ind w:left="357" w:hanging="357"/>
      </w:pPr>
      <w:rPr>
        <w:rFonts w:ascii="Arial" w:hAnsi="Arial" w:cs="Times New Roman" w:hint="default"/>
        <w:sz w:val="22"/>
        <w:szCs w:val="22"/>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2C8C31F2"/>
    <w:multiLevelType w:val="hybridMultilevel"/>
    <w:tmpl w:val="A41AF390"/>
    <w:lvl w:ilvl="0" w:tplc="912E1BDA">
      <w:start w:val="1"/>
      <w:numFmt w:val="bullet"/>
      <w:pStyle w:val="AbsAufz"/>
      <w:lvlText w:val="-"/>
      <w:lvlJc w:val="left"/>
      <w:pPr>
        <w:tabs>
          <w:tab w:val="num" w:pos="567"/>
        </w:tabs>
        <w:ind w:left="567" w:hanging="283"/>
      </w:pPr>
      <w:rPr>
        <w:sz w:val="16"/>
      </w:rPr>
    </w:lvl>
    <w:lvl w:ilvl="1" w:tplc="04070019">
      <w:start w:val="1"/>
      <w:numFmt w:val="decimal"/>
      <w:lvlText w:val="%2."/>
      <w:lvlJc w:val="left"/>
      <w:pPr>
        <w:tabs>
          <w:tab w:val="num" w:pos="1724"/>
        </w:tabs>
        <w:ind w:left="1724" w:hanging="360"/>
      </w:pPr>
      <w:rPr>
        <w:sz w:val="22"/>
        <w:szCs w:val="22"/>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40DE4F2D"/>
    <w:multiLevelType w:val="hybridMultilevel"/>
    <w:tmpl w:val="D9A04CA8"/>
    <w:lvl w:ilvl="0" w:tplc="65DE656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1EF2D80"/>
    <w:multiLevelType w:val="hybridMultilevel"/>
    <w:tmpl w:val="8D2A2E16"/>
    <w:lvl w:ilvl="0" w:tplc="F7FACDD6">
      <w:start w:val="1"/>
      <w:numFmt w:val="decimal"/>
      <w:pStyle w:val="berschrift2"/>
      <w:lvlText w:val="%1."/>
      <w:lvlJc w:val="left"/>
      <w:pPr>
        <w:tabs>
          <w:tab w:val="num" w:pos="284"/>
        </w:tabs>
        <w:ind w:left="28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1" w:tplc="3462FBF4">
      <w:start w:val="1"/>
      <w:numFmt w:val="decimal"/>
      <w:lvlText w:val="%2."/>
      <w:lvlJc w:val="left"/>
      <w:pPr>
        <w:tabs>
          <w:tab w:val="num" w:pos="1440"/>
        </w:tabs>
        <w:ind w:left="1440" w:hanging="360"/>
      </w:pPr>
    </w:lvl>
    <w:lvl w:ilvl="2" w:tplc="67DE248E">
      <w:start w:val="1"/>
      <w:numFmt w:val="decimal"/>
      <w:lvlText w:val="%3."/>
      <w:lvlJc w:val="left"/>
      <w:pPr>
        <w:tabs>
          <w:tab w:val="num" w:pos="2160"/>
        </w:tabs>
        <w:ind w:left="2160" w:hanging="360"/>
      </w:pPr>
    </w:lvl>
    <w:lvl w:ilvl="3" w:tplc="AD5C0F4C">
      <w:start w:val="1"/>
      <w:numFmt w:val="decimal"/>
      <w:lvlText w:val="%4."/>
      <w:lvlJc w:val="left"/>
      <w:pPr>
        <w:tabs>
          <w:tab w:val="num" w:pos="2880"/>
        </w:tabs>
        <w:ind w:left="2880" w:hanging="360"/>
      </w:pPr>
    </w:lvl>
    <w:lvl w:ilvl="4" w:tplc="3564995E">
      <w:start w:val="1"/>
      <w:numFmt w:val="decimal"/>
      <w:lvlText w:val="%5."/>
      <w:lvlJc w:val="left"/>
      <w:pPr>
        <w:tabs>
          <w:tab w:val="num" w:pos="3600"/>
        </w:tabs>
        <w:ind w:left="3600" w:hanging="360"/>
      </w:pPr>
    </w:lvl>
    <w:lvl w:ilvl="5" w:tplc="24841ED2">
      <w:start w:val="1"/>
      <w:numFmt w:val="decimal"/>
      <w:lvlText w:val="%6."/>
      <w:lvlJc w:val="left"/>
      <w:pPr>
        <w:tabs>
          <w:tab w:val="num" w:pos="4320"/>
        </w:tabs>
        <w:ind w:left="4320" w:hanging="360"/>
      </w:pPr>
    </w:lvl>
    <w:lvl w:ilvl="6" w:tplc="C4CA2262">
      <w:start w:val="1"/>
      <w:numFmt w:val="decimal"/>
      <w:lvlText w:val="%7."/>
      <w:lvlJc w:val="left"/>
      <w:pPr>
        <w:tabs>
          <w:tab w:val="num" w:pos="5040"/>
        </w:tabs>
        <w:ind w:left="5040" w:hanging="360"/>
      </w:pPr>
    </w:lvl>
    <w:lvl w:ilvl="7" w:tplc="5B7C1596">
      <w:start w:val="1"/>
      <w:numFmt w:val="decimal"/>
      <w:lvlText w:val="%8."/>
      <w:lvlJc w:val="left"/>
      <w:pPr>
        <w:tabs>
          <w:tab w:val="num" w:pos="5760"/>
        </w:tabs>
        <w:ind w:left="5760" w:hanging="360"/>
      </w:pPr>
    </w:lvl>
    <w:lvl w:ilvl="8" w:tplc="65A6F0C6">
      <w:start w:val="1"/>
      <w:numFmt w:val="decimal"/>
      <w:lvlText w:val="%9."/>
      <w:lvlJc w:val="left"/>
      <w:pPr>
        <w:tabs>
          <w:tab w:val="num" w:pos="6480"/>
        </w:tabs>
        <w:ind w:left="6480" w:hanging="360"/>
      </w:pPr>
    </w:lvl>
  </w:abstractNum>
  <w:abstractNum w:abstractNumId="8" w15:restartNumberingAfterBreak="0">
    <w:nsid w:val="43AE3E8F"/>
    <w:multiLevelType w:val="hybridMultilevel"/>
    <w:tmpl w:val="BA9EB4A2"/>
    <w:lvl w:ilvl="0" w:tplc="77E27FDC">
      <w:start w:val="1"/>
      <w:numFmt w:val="bullet"/>
      <w:lvlText w:val="-"/>
      <w:lvlJc w:val="left"/>
      <w:pPr>
        <w:tabs>
          <w:tab w:val="num" w:pos="1004"/>
        </w:tabs>
        <w:ind w:left="1004" w:hanging="360"/>
      </w:pPr>
      <w:rPr>
        <w:sz w:val="16"/>
      </w:rPr>
    </w:lvl>
    <w:lvl w:ilvl="1" w:tplc="73945FC4">
      <w:start w:val="1"/>
      <w:numFmt w:val="decimal"/>
      <w:pStyle w:val="Antrag"/>
      <w:lvlText w:val="%2."/>
      <w:lvlJc w:val="left"/>
      <w:pPr>
        <w:tabs>
          <w:tab w:val="num" w:pos="1077"/>
        </w:tabs>
        <w:ind w:left="1077" w:hanging="357"/>
      </w:pPr>
      <w:rPr>
        <w:sz w:val="22"/>
        <w:szCs w:val="22"/>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50BA2B4D"/>
    <w:multiLevelType w:val="multilevel"/>
    <w:tmpl w:val="C50A86E6"/>
    <w:lvl w:ilvl="0">
      <w:start w:val="1"/>
      <w:numFmt w:val="bullet"/>
      <w:lvlText w:val="-"/>
      <w:lvlJc w:val="left"/>
      <w:pPr>
        <w:tabs>
          <w:tab w:val="num" w:pos="357"/>
        </w:tabs>
        <w:ind w:left="357" w:hanging="357"/>
      </w:pPr>
      <w:rPr>
        <w:sz w:val="16"/>
      </w:rPr>
    </w:lvl>
    <w:lvl w:ilvl="1">
      <w:start w:val="1"/>
      <w:numFmt w:val="bullet"/>
      <w:lvlText w:val="o"/>
      <w:lvlJc w:val="left"/>
      <w:pPr>
        <w:tabs>
          <w:tab w:val="num" w:pos="720"/>
        </w:tabs>
        <w:ind w:left="720" w:hanging="363"/>
      </w:pPr>
      <w:rPr>
        <w:rFonts w:ascii="Courier New" w:hAnsi="Courier New"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F3AC4"/>
    <w:multiLevelType w:val="hybridMultilevel"/>
    <w:tmpl w:val="69D6B508"/>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671C7C0C"/>
    <w:multiLevelType w:val="hybridMultilevel"/>
    <w:tmpl w:val="A8C408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D6E74C4"/>
    <w:multiLevelType w:val="hybridMultilevel"/>
    <w:tmpl w:val="98EE7B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1"/>
  </w:num>
  <w:num w:numId="14">
    <w:abstractNumId w:val="10"/>
  </w:num>
  <w:num w:numId="15">
    <w:abstractNumId w:val="2"/>
  </w:num>
  <w:num w:numId="16">
    <w:abstractNumId w:val="3"/>
  </w:num>
  <w:num w:numId="17">
    <w:abstractNumId w:val="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0"/>
  <w:doNotHyphenateCaps/>
  <w:noPunctuationKerning/>
  <w:characterSpacingControl w:val="doNotCompress"/>
  <w:ignoreMixedContent/>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1C"/>
    <w:rsid w:val="00024178"/>
    <w:rsid w:val="0005692F"/>
    <w:rsid w:val="00072200"/>
    <w:rsid w:val="000837D1"/>
    <w:rsid w:val="0008395F"/>
    <w:rsid w:val="000933FE"/>
    <w:rsid w:val="000B0ABC"/>
    <w:rsid w:val="0014464C"/>
    <w:rsid w:val="00155B5A"/>
    <w:rsid w:val="00172A15"/>
    <w:rsid w:val="00217367"/>
    <w:rsid w:val="00236980"/>
    <w:rsid w:val="0024064A"/>
    <w:rsid w:val="00241DB7"/>
    <w:rsid w:val="002462E4"/>
    <w:rsid w:val="00277C65"/>
    <w:rsid w:val="002B1F5E"/>
    <w:rsid w:val="002D076D"/>
    <w:rsid w:val="002E2C4A"/>
    <w:rsid w:val="003247C4"/>
    <w:rsid w:val="00327393"/>
    <w:rsid w:val="0036364A"/>
    <w:rsid w:val="003F1A6E"/>
    <w:rsid w:val="003F4A7D"/>
    <w:rsid w:val="00451440"/>
    <w:rsid w:val="00490068"/>
    <w:rsid w:val="004F13B7"/>
    <w:rsid w:val="00563D9E"/>
    <w:rsid w:val="005830E5"/>
    <w:rsid w:val="005A72D8"/>
    <w:rsid w:val="005B0263"/>
    <w:rsid w:val="00643624"/>
    <w:rsid w:val="006771A2"/>
    <w:rsid w:val="006B1D4A"/>
    <w:rsid w:val="006B248B"/>
    <w:rsid w:val="006B3A74"/>
    <w:rsid w:val="006C06A3"/>
    <w:rsid w:val="006D7C5D"/>
    <w:rsid w:val="00706C12"/>
    <w:rsid w:val="00721BB5"/>
    <w:rsid w:val="0072567B"/>
    <w:rsid w:val="007350F8"/>
    <w:rsid w:val="00751F2A"/>
    <w:rsid w:val="0078529D"/>
    <w:rsid w:val="008B6E49"/>
    <w:rsid w:val="008D2647"/>
    <w:rsid w:val="00913DDE"/>
    <w:rsid w:val="00914E1B"/>
    <w:rsid w:val="0093068F"/>
    <w:rsid w:val="009526BA"/>
    <w:rsid w:val="009948DC"/>
    <w:rsid w:val="00997F12"/>
    <w:rsid w:val="009C2066"/>
    <w:rsid w:val="009C6EED"/>
    <w:rsid w:val="009E75CB"/>
    <w:rsid w:val="00A00DD4"/>
    <w:rsid w:val="00A33E1C"/>
    <w:rsid w:val="00A34E25"/>
    <w:rsid w:val="00A41EEE"/>
    <w:rsid w:val="00A56D5B"/>
    <w:rsid w:val="00A5715E"/>
    <w:rsid w:val="00A753A9"/>
    <w:rsid w:val="00A75585"/>
    <w:rsid w:val="00A907E5"/>
    <w:rsid w:val="00AA4817"/>
    <w:rsid w:val="00AC29D3"/>
    <w:rsid w:val="00AF7A89"/>
    <w:rsid w:val="00B04696"/>
    <w:rsid w:val="00B0526C"/>
    <w:rsid w:val="00B341D1"/>
    <w:rsid w:val="00B4550D"/>
    <w:rsid w:val="00B81300"/>
    <w:rsid w:val="00B83A7D"/>
    <w:rsid w:val="00BA49AF"/>
    <w:rsid w:val="00BB30E7"/>
    <w:rsid w:val="00BD3C8F"/>
    <w:rsid w:val="00BD63C9"/>
    <w:rsid w:val="00C41E75"/>
    <w:rsid w:val="00C53E56"/>
    <w:rsid w:val="00C67ED8"/>
    <w:rsid w:val="00CE0181"/>
    <w:rsid w:val="00D23CA4"/>
    <w:rsid w:val="00D97AA6"/>
    <w:rsid w:val="00DB2B35"/>
    <w:rsid w:val="00E219E6"/>
    <w:rsid w:val="00E22CF9"/>
    <w:rsid w:val="00E35462"/>
    <w:rsid w:val="00E57263"/>
    <w:rsid w:val="00E60A30"/>
    <w:rsid w:val="00E63707"/>
    <w:rsid w:val="00E92F0C"/>
    <w:rsid w:val="00EA6BE1"/>
    <w:rsid w:val="00EA7D99"/>
    <w:rsid w:val="00EB069D"/>
    <w:rsid w:val="00ED43A6"/>
    <w:rsid w:val="00EF3520"/>
    <w:rsid w:val="00F2162E"/>
    <w:rsid w:val="00F270EE"/>
    <w:rsid w:val="00F60F5E"/>
    <w:rsid w:val="00F6338F"/>
    <w:rsid w:val="00F72507"/>
    <w:rsid w:val="00F751D5"/>
    <w:rsid w:val="00F96B2C"/>
    <w:rsid w:val="00FA0D0E"/>
    <w:rsid w:val="00FB74C9"/>
    <w:rsid w:val="00FE5C2B"/>
  </w:rsids>
  <m:mathPr>
    <m:mathFont m:val="Cambria Math"/>
    <m:brkBin m:val="before"/>
    <m:brkBinSub m:val="--"/>
    <m:smallFrac m:val="0"/>
    <m:dispDef/>
    <m:lMargin m:val="0"/>
    <m:rMargin m:val="0"/>
    <m:defJc m:val="centerGroup"/>
    <m:wrapIndent m:val="1440"/>
    <m:intLim m:val="subSup"/>
    <m:naryLim m:val="undOvr"/>
  </m:mathPr>
  <w:attachedSchema w:val="Eureka-GSW"/>
  <w:attachedSchema w:val="errors@Eureka-GSW"/>
  <w:attachedSchema w:val="Eureka-Formatierung"/>
  <w:attachedSchema w:val="errors@Eureka-Formatierung"/>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B9BF4EB"/>
  <w15:docId w15:val="{8FBD7E13-31ED-4284-A424-56D5640C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68F"/>
    <w:rPr>
      <w:rFonts w:ascii="Arial" w:hAnsi="Arial"/>
      <w:sz w:val="22"/>
      <w:szCs w:val="24"/>
    </w:rPr>
  </w:style>
  <w:style w:type="paragraph" w:styleId="berschrift2">
    <w:name w:val="heading 2"/>
    <w:basedOn w:val="Standard"/>
    <w:next w:val="Standard"/>
    <w:link w:val="berschrift2Zchn"/>
    <w:qFormat/>
    <w:rsid w:val="0093068F"/>
    <w:pPr>
      <w:keepNext/>
      <w:numPr>
        <w:numId w:val="2"/>
      </w:numPr>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93068F"/>
    <w:rPr>
      <w:rFonts w:ascii="Cambria" w:eastAsia="Times New Roman" w:hAnsi="Cambria" w:cs="Times New Roman" w:hint="default"/>
      <w:b/>
      <w:bCs/>
      <w:color w:val="4F81BD"/>
      <w:sz w:val="26"/>
      <w:szCs w:val="26"/>
    </w:rPr>
  </w:style>
  <w:style w:type="paragraph" w:styleId="Kopfzeile">
    <w:name w:val="header"/>
    <w:basedOn w:val="Standard"/>
    <w:link w:val="KopfzeileZchn"/>
    <w:rsid w:val="0093068F"/>
    <w:pPr>
      <w:tabs>
        <w:tab w:val="center" w:pos="4536"/>
        <w:tab w:val="right" w:pos="9072"/>
      </w:tabs>
    </w:pPr>
  </w:style>
  <w:style w:type="character" w:customStyle="1" w:styleId="KopfzeileZchn">
    <w:name w:val="Kopfzeile Zchn"/>
    <w:link w:val="Kopfzeile"/>
    <w:locked/>
    <w:rsid w:val="0093068F"/>
    <w:rPr>
      <w:rFonts w:ascii="Arial" w:hAnsi="Arial" w:cs="Arial" w:hint="default"/>
      <w:sz w:val="22"/>
      <w:szCs w:val="24"/>
    </w:rPr>
  </w:style>
  <w:style w:type="paragraph" w:styleId="Fuzeile">
    <w:name w:val="footer"/>
    <w:basedOn w:val="Standard"/>
    <w:link w:val="FuzeileZchn"/>
    <w:rsid w:val="0093068F"/>
    <w:pPr>
      <w:tabs>
        <w:tab w:val="center" w:pos="4536"/>
        <w:tab w:val="right" w:pos="9072"/>
      </w:tabs>
    </w:pPr>
  </w:style>
  <w:style w:type="character" w:customStyle="1" w:styleId="FuzeileZchn">
    <w:name w:val="Fußzeile Zchn"/>
    <w:link w:val="Fuzeile"/>
    <w:locked/>
    <w:rsid w:val="0093068F"/>
    <w:rPr>
      <w:rFonts w:ascii="Arial" w:hAnsi="Arial" w:cs="Arial" w:hint="default"/>
      <w:sz w:val="22"/>
      <w:szCs w:val="24"/>
    </w:rPr>
  </w:style>
  <w:style w:type="paragraph" w:styleId="Dokumentstruktur">
    <w:name w:val="Document Map"/>
    <w:basedOn w:val="Standard"/>
    <w:link w:val="DokumentstrukturZchn"/>
    <w:rsid w:val="0093068F"/>
    <w:pPr>
      <w:shd w:val="clear" w:color="auto" w:fill="000080"/>
    </w:pPr>
    <w:rPr>
      <w:rFonts w:ascii="Tahoma" w:hAnsi="Tahoma" w:cs="Tahoma"/>
      <w:sz w:val="20"/>
      <w:szCs w:val="20"/>
    </w:rPr>
  </w:style>
  <w:style w:type="character" w:customStyle="1" w:styleId="DokumentstrukturZchn">
    <w:name w:val="Dokumentstruktur Zchn"/>
    <w:link w:val="Dokumentstruktur"/>
    <w:locked/>
    <w:rsid w:val="0093068F"/>
    <w:rPr>
      <w:rFonts w:ascii="Tahoma" w:hAnsi="Tahoma" w:cs="Tahoma" w:hint="default"/>
      <w:sz w:val="16"/>
      <w:szCs w:val="16"/>
    </w:rPr>
  </w:style>
  <w:style w:type="paragraph" w:styleId="Sprechblasentext">
    <w:name w:val="Balloon Text"/>
    <w:basedOn w:val="Standard"/>
    <w:link w:val="SprechblasentextZchn"/>
    <w:rsid w:val="0093068F"/>
    <w:rPr>
      <w:rFonts w:ascii="Tahoma" w:hAnsi="Tahoma" w:cs="Tahoma"/>
      <w:sz w:val="16"/>
      <w:szCs w:val="16"/>
    </w:rPr>
  </w:style>
  <w:style w:type="character" w:customStyle="1" w:styleId="SprechblasentextZchn">
    <w:name w:val="Sprechblasentext Zchn"/>
    <w:link w:val="Sprechblasentext"/>
    <w:locked/>
    <w:rsid w:val="0093068F"/>
    <w:rPr>
      <w:rFonts w:ascii="Tahoma" w:hAnsi="Tahoma" w:cs="Tahoma" w:hint="default"/>
      <w:sz w:val="16"/>
      <w:szCs w:val="16"/>
    </w:rPr>
  </w:style>
  <w:style w:type="paragraph" w:customStyle="1" w:styleId="Gericht">
    <w:name w:val="Gericht"/>
    <w:basedOn w:val="Standard"/>
    <w:rsid w:val="0093068F"/>
    <w:pPr>
      <w:spacing w:before="360" w:after="240"/>
      <w:jc w:val="center"/>
    </w:pPr>
    <w:rPr>
      <w:b/>
      <w:sz w:val="36"/>
    </w:rPr>
  </w:style>
  <w:style w:type="paragraph" w:customStyle="1" w:styleId="Kopf">
    <w:name w:val="Kopf"/>
    <w:basedOn w:val="Standard"/>
    <w:rsid w:val="0093068F"/>
    <w:pPr>
      <w:spacing w:before="240" w:after="240"/>
      <w:jc w:val="center"/>
    </w:pPr>
  </w:style>
  <w:style w:type="paragraph" w:customStyle="1" w:styleId="Tenor">
    <w:name w:val="Tenor"/>
    <w:basedOn w:val="Standard"/>
    <w:next w:val="Standard"/>
    <w:rsid w:val="0093068F"/>
    <w:pPr>
      <w:spacing w:before="240"/>
      <w:ind w:left="1134"/>
    </w:pPr>
    <w:rPr>
      <w:b/>
      <w:bCs/>
      <w:szCs w:val="20"/>
    </w:rPr>
  </w:style>
  <w:style w:type="paragraph" w:customStyle="1" w:styleId="wegen">
    <w:name w:val="wegen"/>
    <w:basedOn w:val="Standard"/>
    <w:rsid w:val="0093068F"/>
    <w:pPr>
      <w:spacing w:before="280"/>
      <w:ind w:left="709" w:hanging="709"/>
    </w:pPr>
    <w:rPr>
      <w:szCs w:val="20"/>
    </w:rPr>
  </w:style>
  <w:style w:type="character" w:customStyle="1" w:styleId="AbsUnterschriftZchn">
    <w:name w:val="AbsUnterschrift Zchn"/>
    <w:link w:val="AbsUnterschrift"/>
    <w:locked/>
    <w:rsid w:val="0093068F"/>
    <w:rPr>
      <w:rFonts w:ascii="Arial" w:hAnsi="Arial" w:cs="Arial" w:hint="default"/>
      <w:sz w:val="22"/>
      <w:szCs w:val="24"/>
      <w:lang w:val="de-DE" w:eastAsia="de-DE" w:bidi="ar-SA"/>
    </w:rPr>
  </w:style>
  <w:style w:type="paragraph" w:customStyle="1" w:styleId="AbsUnterschrift">
    <w:name w:val="AbsUnterschrift"/>
    <w:basedOn w:val="Standard"/>
    <w:link w:val="AbsUnterschriftZchn"/>
    <w:rsid w:val="0093068F"/>
    <w:pPr>
      <w:tabs>
        <w:tab w:val="center" w:pos="4394"/>
        <w:tab w:val="right" w:pos="8789"/>
      </w:tabs>
      <w:spacing w:before="560"/>
    </w:pPr>
  </w:style>
  <w:style w:type="character" w:customStyle="1" w:styleId="AbsRMBTextZchn">
    <w:name w:val="AbsRMBText Zchn"/>
    <w:link w:val="AbsRMBText"/>
    <w:locked/>
    <w:rsid w:val="0093068F"/>
    <w:rPr>
      <w:rFonts w:ascii="Arial" w:hAnsi="Arial" w:cs="Arial" w:hint="default"/>
      <w:sz w:val="22"/>
      <w:szCs w:val="18"/>
      <w:lang w:val="de-DE" w:eastAsia="de-DE" w:bidi="ar-SA"/>
    </w:rPr>
  </w:style>
  <w:style w:type="paragraph" w:customStyle="1" w:styleId="AbsRMBText">
    <w:name w:val="AbsRMBText"/>
    <w:basedOn w:val="Standard"/>
    <w:link w:val="AbsRMBTextZchn"/>
    <w:rsid w:val="0093068F"/>
    <w:pPr>
      <w:spacing w:before="240"/>
      <w:ind w:left="357"/>
    </w:pPr>
    <w:rPr>
      <w:szCs w:val="18"/>
    </w:rPr>
  </w:style>
  <w:style w:type="character" w:customStyle="1" w:styleId="RMBSZchn">
    <w:name w:val="RMBÜS Zchn"/>
    <w:link w:val="RMBS"/>
    <w:locked/>
    <w:rsid w:val="0093068F"/>
    <w:rPr>
      <w:rFonts w:ascii="Arial" w:hAnsi="Arial" w:cs="Arial" w:hint="default"/>
      <w:b/>
      <w:bCs w:val="0"/>
      <w:sz w:val="22"/>
      <w:szCs w:val="24"/>
      <w:lang w:val="de-DE" w:eastAsia="de-DE" w:bidi="ar-SA"/>
    </w:rPr>
  </w:style>
  <w:style w:type="paragraph" w:customStyle="1" w:styleId="RMBS">
    <w:name w:val="RMBÜS"/>
    <w:basedOn w:val="Standard"/>
    <w:link w:val="RMBSZchn"/>
    <w:rsid w:val="0093068F"/>
    <w:pPr>
      <w:spacing w:before="240" w:after="240"/>
      <w:jc w:val="center"/>
    </w:pPr>
    <w:rPr>
      <w:b/>
    </w:rPr>
  </w:style>
  <w:style w:type="character" w:customStyle="1" w:styleId="ProtWasZchn">
    <w:name w:val="ProtWas Zchn"/>
    <w:link w:val="ProtWas"/>
    <w:locked/>
    <w:rsid w:val="0093068F"/>
    <w:rPr>
      <w:rFonts w:ascii="Arial" w:hAnsi="Arial" w:cs="Arial" w:hint="default"/>
      <w:b/>
      <w:bCs w:val="0"/>
      <w:sz w:val="22"/>
      <w:szCs w:val="24"/>
      <w:lang w:val="de-DE" w:eastAsia="de-DE" w:bidi="ar-SA"/>
    </w:rPr>
  </w:style>
  <w:style w:type="paragraph" w:customStyle="1" w:styleId="ProtWas">
    <w:name w:val="ProtWas"/>
    <w:basedOn w:val="Standard"/>
    <w:next w:val="Standard"/>
    <w:link w:val="ProtWasZchn"/>
    <w:rsid w:val="0093068F"/>
    <w:pPr>
      <w:spacing w:before="240" w:after="240"/>
      <w:jc w:val="center"/>
    </w:pPr>
    <w:rPr>
      <w:b/>
    </w:rPr>
  </w:style>
  <w:style w:type="character" w:customStyle="1" w:styleId="AbsEingeZchn">
    <w:name w:val="AbsEinge Zchn"/>
    <w:link w:val="AbsEinge"/>
    <w:locked/>
    <w:rsid w:val="0093068F"/>
    <w:rPr>
      <w:rFonts w:ascii="Arial" w:hAnsi="Arial" w:cs="Arial" w:hint="default"/>
      <w:sz w:val="22"/>
      <w:szCs w:val="24"/>
      <w:lang w:val="de-DE" w:eastAsia="de-DE" w:bidi="ar-SA"/>
    </w:rPr>
  </w:style>
  <w:style w:type="paragraph" w:customStyle="1" w:styleId="AbsEinge">
    <w:name w:val="AbsEinge"/>
    <w:basedOn w:val="Standard"/>
    <w:link w:val="AbsEingeZchn"/>
    <w:rsid w:val="0093068F"/>
    <w:pPr>
      <w:spacing w:before="280"/>
      <w:ind w:left="680"/>
      <w:jc w:val="both"/>
    </w:pPr>
  </w:style>
  <w:style w:type="character" w:customStyle="1" w:styleId="AbsAufzZchnZchn">
    <w:name w:val="AbsAufz Zchn Zchn"/>
    <w:link w:val="AbsAufz"/>
    <w:locked/>
    <w:rsid w:val="0093068F"/>
    <w:rPr>
      <w:rFonts w:ascii="Arial" w:hAnsi="Arial" w:cs="Arial" w:hint="default"/>
      <w:sz w:val="22"/>
      <w:szCs w:val="24"/>
      <w:lang w:val="de-DE" w:eastAsia="de-DE" w:bidi="ar-SA"/>
    </w:rPr>
  </w:style>
  <w:style w:type="paragraph" w:customStyle="1" w:styleId="AbsAufz">
    <w:name w:val="AbsAufz"/>
    <w:basedOn w:val="Standard"/>
    <w:link w:val="AbsAufzZchnZchn"/>
    <w:rsid w:val="0093068F"/>
    <w:pPr>
      <w:numPr>
        <w:numId w:val="4"/>
      </w:numPr>
      <w:spacing w:before="280"/>
    </w:pPr>
  </w:style>
  <w:style w:type="paragraph" w:customStyle="1" w:styleId="AbsUnterschriftProt">
    <w:name w:val="AbsUnterschriftProt"/>
    <w:basedOn w:val="Standard"/>
    <w:rsid w:val="0093068F"/>
    <w:pPr>
      <w:tabs>
        <w:tab w:val="center" w:pos="7371"/>
      </w:tabs>
      <w:spacing w:before="560"/>
    </w:pPr>
    <w:rPr>
      <w:vanish/>
      <w:szCs w:val="22"/>
    </w:rPr>
  </w:style>
  <w:style w:type="paragraph" w:customStyle="1" w:styleId="AusgefertigtS">
    <w:name w:val="AusgefertigtÜS"/>
    <w:basedOn w:val="Standard"/>
    <w:rsid w:val="0093068F"/>
    <w:pPr>
      <w:spacing w:before="280"/>
      <w:jc w:val="center"/>
    </w:pPr>
    <w:rPr>
      <w:b/>
      <w:spacing w:val="80"/>
      <w:sz w:val="24"/>
    </w:rPr>
  </w:style>
  <w:style w:type="paragraph" w:customStyle="1" w:styleId="AusgefertigtDatum">
    <w:name w:val="AusgefertigtDatum"/>
    <w:basedOn w:val="Standard"/>
    <w:rsid w:val="0093068F"/>
    <w:pPr>
      <w:spacing w:before="120"/>
    </w:pPr>
    <w:rPr>
      <w:sz w:val="16"/>
      <w:szCs w:val="16"/>
    </w:rPr>
  </w:style>
  <w:style w:type="paragraph" w:customStyle="1" w:styleId="SText">
    <w:name w:val="ÜSText"/>
    <w:basedOn w:val="Standard"/>
    <w:next w:val="Standard"/>
    <w:rsid w:val="0093068F"/>
    <w:pPr>
      <w:spacing w:before="240" w:after="240"/>
      <w:jc w:val="center"/>
    </w:pPr>
    <w:rPr>
      <w:b/>
      <w:spacing w:val="40"/>
      <w:sz w:val="24"/>
      <w:szCs w:val="22"/>
    </w:rPr>
  </w:style>
  <w:style w:type="paragraph" w:customStyle="1" w:styleId="Aktenzeichen">
    <w:name w:val="Aktenzeichen"/>
    <w:basedOn w:val="Standard"/>
    <w:rsid w:val="0093068F"/>
    <w:pPr>
      <w:tabs>
        <w:tab w:val="left" w:pos="6660"/>
      </w:tabs>
    </w:pPr>
    <w:rPr>
      <w:b/>
      <w:sz w:val="24"/>
    </w:rPr>
  </w:style>
  <w:style w:type="character" w:customStyle="1" w:styleId="VerkndetDatumZchn">
    <w:name w:val="Verkündet_Datum Zchn"/>
    <w:link w:val="VerkndetDatum"/>
    <w:locked/>
    <w:rsid w:val="0093068F"/>
    <w:rPr>
      <w:rFonts w:ascii="Arial" w:hAnsi="Arial" w:cs="Arial" w:hint="default"/>
      <w:sz w:val="18"/>
      <w:szCs w:val="18"/>
      <w:lang w:val="de-DE" w:eastAsia="de-DE" w:bidi="ar-SA"/>
    </w:rPr>
  </w:style>
  <w:style w:type="paragraph" w:customStyle="1" w:styleId="VerkndetDatum">
    <w:name w:val="Verkündet_Datum"/>
    <w:basedOn w:val="Standard"/>
    <w:link w:val="VerkndetDatumZchn"/>
    <w:rsid w:val="0093068F"/>
    <w:pPr>
      <w:tabs>
        <w:tab w:val="left" w:pos="6660"/>
      </w:tabs>
    </w:pPr>
    <w:rPr>
      <w:sz w:val="18"/>
      <w:szCs w:val="18"/>
    </w:rPr>
  </w:style>
  <w:style w:type="paragraph" w:customStyle="1" w:styleId="VerkndetUser">
    <w:name w:val="Verkündet_User"/>
    <w:basedOn w:val="Standard"/>
    <w:rsid w:val="0093068F"/>
    <w:pPr>
      <w:tabs>
        <w:tab w:val="left" w:pos="6660"/>
      </w:tabs>
      <w:spacing w:before="480"/>
      <w:ind w:right="-79"/>
      <w:outlineLvl w:val="0"/>
    </w:pPr>
  </w:style>
  <w:style w:type="paragraph" w:customStyle="1" w:styleId="VerkndetUDG">
    <w:name w:val="Verkündet_UDG"/>
    <w:basedOn w:val="Standard"/>
    <w:rsid w:val="0093068F"/>
    <w:pPr>
      <w:tabs>
        <w:tab w:val="left" w:pos="6660"/>
      </w:tabs>
      <w:outlineLvl w:val="0"/>
    </w:pPr>
    <w:rPr>
      <w:sz w:val="18"/>
      <w:szCs w:val="18"/>
    </w:rPr>
  </w:style>
  <w:style w:type="paragraph" w:customStyle="1" w:styleId="Wappen">
    <w:name w:val="Wappen"/>
    <w:basedOn w:val="Standard"/>
    <w:rsid w:val="0093068F"/>
    <w:pPr>
      <w:spacing w:before="240"/>
      <w:jc w:val="center"/>
    </w:pPr>
    <w:rPr>
      <w:szCs w:val="20"/>
    </w:rPr>
  </w:style>
  <w:style w:type="paragraph" w:customStyle="1" w:styleId="Entscheidungsart">
    <w:name w:val="Entscheidungsart"/>
    <w:basedOn w:val="Standard"/>
    <w:rsid w:val="0093068F"/>
    <w:pPr>
      <w:tabs>
        <w:tab w:val="left" w:pos="6804"/>
      </w:tabs>
      <w:spacing w:before="240" w:after="240"/>
      <w:jc w:val="center"/>
      <w:outlineLvl w:val="0"/>
    </w:pPr>
    <w:rPr>
      <w:sz w:val="72"/>
      <w:szCs w:val="72"/>
    </w:rPr>
  </w:style>
  <w:style w:type="paragraph" w:customStyle="1" w:styleId="Verfahrensart">
    <w:name w:val="Verfahrensart"/>
    <w:basedOn w:val="Standard"/>
    <w:rsid w:val="0093068F"/>
    <w:pPr>
      <w:spacing w:before="240" w:after="360"/>
      <w:jc w:val="center"/>
      <w:outlineLvl w:val="0"/>
    </w:pPr>
    <w:rPr>
      <w:sz w:val="24"/>
    </w:rPr>
  </w:style>
  <w:style w:type="paragraph" w:customStyle="1" w:styleId="RubrumText">
    <w:name w:val="RubrumText"/>
    <w:basedOn w:val="Standard"/>
    <w:rsid w:val="0093068F"/>
    <w:pPr>
      <w:spacing w:before="480" w:after="240"/>
    </w:pPr>
  </w:style>
  <w:style w:type="character" w:customStyle="1" w:styleId="AbsTextZchn">
    <w:name w:val="AbsText Zchn"/>
    <w:link w:val="AbsText"/>
    <w:locked/>
    <w:rsid w:val="0093068F"/>
    <w:rPr>
      <w:rFonts w:ascii="Arial" w:hAnsi="Arial" w:cs="Arial" w:hint="default"/>
      <w:sz w:val="22"/>
      <w:szCs w:val="24"/>
      <w:lang w:val="de-DE" w:eastAsia="de-DE" w:bidi="ar-SA"/>
    </w:rPr>
  </w:style>
  <w:style w:type="paragraph" w:customStyle="1" w:styleId="AbsText">
    <w:name w:val="AbsText"/>
    <w:basedOn w:val="Standard"/>
    <w:link w:val="AbsTextZchn"/>
    <w:rsid w:val="0093068F"/>
    <w:pPr>
      <w:spacing w:before="240"/>
      <w:outlineLvl w:val="0"/>
    </w:pPr>
  </w:style>
  <w:style w:type="paragraph" w:customStyle="1" w:styleId="AbsMitte">
    <w:name w:val="AbsMitte"/>
    <w:basedOn w:val="Standard"/>
    <w:rsid w:val="0093068F"/>
    <w:pPr>
      <w:spacing w:before="240"/>
      <w:jc w:val="center"/>
    </w:pPr>
    <w:rPr>
      <w:szCs w:val="22"/>
    </w:rPr>
  </w:style>
  <w:style w:type="paragraph" w:customStyle="1" w:styleId="SAntrag">
    <w:name w:val="ÜSAntrag"/>
    <w:basedOn w:val="Standard"/>
    <w:rsid w:val="0093068F"/>
    <w:pPr>
      <w:tabs>
        <w:tab w:val="left" w:pos="6804"/>
      </w:tabs>
      <w:spacing w:before="240"/>
      <w:jc w:val="center"/>
    </w:pPr>
    <w:rPr>
      <w:spacing w:val="40"/>
      <w:u w:val="single"/>
    </w:rPr>
  </w:style>
  <w:style w:type="paragraph" w:customStyle="1" w:styleId="Antrag">
    <w:name w:val="Antrag"/>
    <w:basedOn w:val="Standard"/>
    <w:rsid w:val="0093068F"/>
    <w:pPr>
      <w:numPr>
        <w:ilvl w:val="1"/>
        <w:numId w:val="6"/>
      </w:numPr>
      <w:tabs>
        <w:tab w:val="left" w:pos="6804"/>
      </w:tabs>
      <w:spacing w:before="240"/>
    </w:pPr>
  </w:style>
  <w:style w:type="paragraph" w:customStyle="1" w:styleId="AntragFort">
    <w:name w:val="AntragFort"/>
    <w:basedOn w:val="Standard"/>
    <w:rsid w:val="0093068F"/>
    <w:pPr>
      <w:tabs>
        <w:tab w:val="left" w:pos="6804"/>
      </w:tabs>
      <w:ind w:left="720"/>
    </w:pPr>
  </w:style>
  <w:style w:type="paragraph" w:customStyle="1" w:styleId="AbsZeugenBelehrung">
    <w:name w:val="AbsZeugenBelehrung"/>
    <w:basedOn w:val="Standard"/>
    <w:rsid w:val="0093068F"/>
    <w:pPr>
      <w:spacing w:before="240"/>
    </w:pPr>
  </w:style>
  <w:style w:type="paragraph" w:customStyle="1" w:styleId="AbsRMBNum">
    <w:name w:val="AbsRMBNum"/>
    <w:basedOn w:val="Standard"/>
    <w:rsid w:val="0093068F"/>
    <w:pPr>
      <w:numPr>
        <w:numId w:val="8"/>
      </w:numPr>
      <w:spacing w:before="240"/>
    </w:pPr>
    <w:rPr>
      <w:szCs w:val="22"/>
    </w:rPr>
  </w:style>
  <w:style w:type="paragraph" w:customStyle="1" w:styleId="AbsRMBMitte">
    <w:name w:val="AbsRMBMitte"/>
    <w:basedOn w:val="Standard"/>
    <w:rsid w:val="0093068F"/>
    <w:pPr>
      <w:spacing w:before="240"/>
      <w:ind w:left="357"/>
      <w:jc w:val="center"/>
    </w:pPr>
    <w:rPr>
      <w:szCs w:val="22"/>
    </w:rPr>
  </w:style>
  <w:style w:type="paragraph" w:customStyle="1" w:styleId="UDGUnter">
    <w:name w:val="UDG_Unter"/>
    <w:basedOn w:val="Standard"/>
    <w:rsid w:val="0093068F"/>
    <w:pPr>
      <w:keepNext/>
      <w:keepLines/>
      <w:tabs>
        <w:tab w:val="left" w:pos="6804"/>
      </w:tabs>
      <w:spacing w:before="120"/>
      <w:jc w:val="center"/>
    </w:pPr>
  </w:style>
  <w:style w:type="paragraph" w:customStyle="1" w:styleId="Parteiart">
    <w:name w:val="Parteiart"/>
    <w:basedOn w:val="Standard"/>
    <w:rsid w:val="0093068F"/>
    <w:pPr>
      <w:tabs>
        <w:tab w:val="left" w:pos="6804"/>
      </w:tabs>
      <w:spacing w:before="240"/>
      <w:ind w:hanging="357"/>
    </w:pPr>
  </w:style>
  <w:style w:type="paragraph" w:customStyle="1" w:styleId="Stellung1Instanz">
    <w:name w:val="Stellung1Instanz"/>
    <w:basedOn w:val="Parteiart"/>
    <w:rsid w:val="0093068F"/>
    <w:pPr>
      <w:spacing w:before="0"/>
      <w:ind w:firstLine="0"/>
      <w:jc w:val="right"/>
    </w:pPr>
  </w:style>
  <w:style w:type="paragraph" w:customStyle="1" w:styleId="Prozessbevollmchtigte">
    <w:name w:val="Prozessbevollmächtigte"/>
    <w:basedOn w:val="Parteiart"/>
    <w:rsid w:val="0093068F"/>
    <w:pPr>
      <w:spacing w:before="0"/>
      <w:ind w:firstLine="0"/>
    </w:pPr>
  </w:style>
  <w:style w:type="paragraph" w:customStyle="1" w:styleId="Parteiartandere">
    <w:name w:val="Parteiart_andere"/>
    <w:basedOn w:val="Standard"/>
    <w:rsid w:val="0093068F"/>
    <w:pPr>
      <w:spacing w:before="240"/>
    </w:pPr>
  </w:style>
  <w:style w:type="paragraph" w:customStyle="1" w:styleId="Partei">
    <w:name w:val="Partei"/>
    <w:basedOn w:val="Parteiartandere"/>
    <w:rsid w:val="0093068F"/>
    <w:pPr>
      <w:spacing w:before="0"/>
      <w:ind w:hanging="357"/>
    </w:pPr>
  </w:style>
  <w:style w:type="paragraph" w:customStyle="1" w:styleId="gegen">
    <w:name w:val="gegen"/>
    <w:basedOn w:val="Standard"/>
    <w:rsid w:val="0093068F"/>
    <w:pPr>
      <w:spacing w:before="240" w:after="240"/>
      <w:jc w:val="center"/>
    </w:pPr>
    <w:rPr>
      <w:b/>
      <w:sz w:val="32"/>
      <w:szCs w:val="22"/>
    </w:rPr>
  </w:style>
  <w:style w:type="paragraph" w:customStyle="1" w:styleId="ex">
    <w:name w:val="ex"/>
    <w:basedOn w:val="Standard"/>
    <w:rsid w:val="0093068F"/>
    <w:pPr>
      <w:widowControl w:val="0"/>
      <w:spacing w:before="240"/>
      <w:ind w:left="720"/>
    </w:pPr>
  </w:style>
  <w:style w:type="paragraph" w:customStyle="1" w:styleId="mx">
    <w:name w:val="mx"/>
    <w:basedOn w:val="Standard"/>
    <w:rsid w:val="0093068F"/>
    <w:pPr>
      <w:widowControl w:val="0"/>
      <w:spacing w:before="240"/>
      <w:jc w:val="center"/>
    </w:pPr>
  </w:style>
  <w:style w:type="character" w:customStyle="1" w:styleId="pxZchn">
    <w:name w:val="px Zchn"/>
    <w:link w:val="px"/>
    <w:locked/>
    <w:rsid w:val="0093068F"/>
    <w:rPr>
      <w:rFonts w:ascii="Arial" w:hAnsi="Arial" w:cs="Arial" w:hint="default"/>
      <w:sz w:val="22"/>
      <w:szCs w:val="24"/>
      <w:lang w:val="de-DE" w:eastAsia="de-DE" w:bidi="ar-SA"/>
    </w:rPr>
  </w:style>
  <w:style w:type="paragraph" w:customStyle="1" w:styleId="px">
    <w:name w:val="px"/>
    <w:basedOn w:val="Standard"/>
    <w:link w:val="pxZchn"/>
    <w:rsid w:val="0093068F"/>
    <w:pPr>
      <w:widowControl w:val="0"/>
      <w:spacing w:before="240"/>
    </w:pPr>
  </w:style>
  <w:style w:type="paragraph" w:customStyle="1" w:styleId="zx">
    <w:name w:val="zx"/>
    <w:basedOn w:val="Standard"/>
    <w:rsid w:val="0093068F"/>
    <w:pPr>
      <w:spacing w:before="240"/>
      <w:jc w:val="center"/>
    </w:pPr>
    <w:rPr>
      <w:lang w:val="en-GB"/>
    </w:rPr>
  </w:style>
  <w:style w:type="paragraph" w:customStyle="1" w:styleId="AnredeEAR">
    <w:name w:val="AnredeEAR"/>
    <w:basedOn w:val="Standard"/>
    <w:rsid w:val="0093068F"/>
    <w:pPr>
      <w:widowControl w:val="0"/>
      <w:spacing w:before="120" w:after="120"/>
    </w:pPr>
  </w:style>
  <w:style w:type="character" w:customStyle="1" w:styleId="AnlagenSZchn">
    <w:name w:val="AnlagenÜS Zchn"/>
    <w:link w:val="AnlagenS"/>
    <w:locked/>
    <w:rsid w:val="0093068F"/>
    <w:rPr>
      <w:rFonts w:ascii="Arial" w:hAnsi="Arial" w:cs="Arial" w:hint="default"/>
      <w:sz w:val="22"/>
      <w:szCs w:val="24"/>
      <w:lang w:val="de-DE" w:eastAsia="de-DE" w:bidi="ar-SA"/>
    </w:rPr>
  </w:style>
  <w:style w:type="paragraph" w:customStyle="1" w:styleId="AnlagenS">
    <w:name w:val="AnlagenÜS"/>
    <w:basedOn w:val="Standard"/>
    <w:next w:val="Standard"/>
    <w:link w:val="AnlagenSZchn"/>
    <w:rsid w:val="0093068F"/>
    <w:pPr>
      <w:spacing w:before="280"/>
    </w:pPr>
    <w:rPr>
      <w:rFonts w:cs="Arial"/>
    </w:rPr>
  </w:style>
  <w:style w:type="paragraph" w:customStyle="1" w:styleId="AbsAnlagen">
    <w:name w:val="AbsAnlagen"/>
    <w:basedOn w:val="Standard"/>
    <w:rsid w:val="0093068F"/>
    <w:pPr>
      <w:widowControl w:val="0"/>
      <w:spacing w:before="120"/>
      <w:ind w:left="1418" w:hanging="1418"/>
    </w:pPr>
  </w:style>
  <w:style w:type="table" w:customStyle="1" w:styleId="Tabellengitternetz">
    <w:name w:val="Tabellengitternetz"/>
    <w:basedOn w:val="NormaleTabelle"/>
    <w:rsid w:val="009306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E9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2644</Words>
  <Characters>16897</Characters>
  <Application>Microsoft Office Word</Application>
  <DocSecurity>0</DocSecurity>
  <Lines>392</Lines>
  <Paragraphs>89</Paragraphs>
  <ScaleCrop>false</ScaleCrop>
  <HeadingPairs>
    <vt:vector size="2" baseType="variant">
      <vt:variant>
        <vt:lpstr>Titel</vt:lpstr>
      </vt:variant>
      <vt:variant>
        <vt:i4>1</vt:i4>
      </vt:variant>
    </vt:vector>
  </HeadingPairs>
  <TitlesOfParts>
    <vt:vector size="1" baseType="lpstr">
      <vt:lpstr>\\zag-sc-arbg\arbge\eureka\lag-n\schreibwerk\sk04\4_sa_306_18\</vt:lpstr>
    </vt:vector>
  </TitlesOfParts>
  <Company>Bayerische Arbeitsgerichtsbarkeit</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Rieß, Sylvia (LAG-N)</cp:lastModifiedBy>
  <cp:revision>4</cp:revision>
  <cp:lastPrinted>2019-02-28T07:06:00Z</cp:lastPrinted>
  <dcterms:created xsi:type="dcterms:W3CDTF">2019-04-12T08:34:00Z</dcterms:created>
  <dcterms:modified xsi:type="dcterms:W3CDTF">2019-04-12T09:10:00Z</dcterms:modified>
</cp:coreProperties>
</file>